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4844">
      <w:pPr>
        <w:kinsoku w:val="0"/>
        <w:overflowPunct w:val="0"/>
        <w:autoSpaceDE w:val="0"/>
        <w:autoSpaceDN w:val="0"/>
        <w:adjustRightInd w:val="0"/>
        <w:spacing w:before="44"/>
        <w:ind w:left="0" w:right="859" w:firstLine="0"/>
        <w:jc w:val="both"/>
        <w:rPr>
          <w:rFonts w:hint="eastAsia" w:ascii="宋体" w:hAnsi="Times New Roman" w:eastAsia="宋体" w:cs="宋体"/>
          <w:b w:val="0"/>
          <w:bCs w:val="0"/>
          <w:kern w:val="0"/>
          <w:sz w:val="36"/>
          <w:szCs w:val="36"/>
          <w:highlight w:val="none"/>
          <w:lang w:eastAsia="zh-CN"/>
        </w:rPr>
      </w:pPr>
      <w:r>
        <w:rPr>
          <w:rFonts w:hint="eastAsia" w:ascii="宋体" w:hAnsi="Times New Roman" w:eastAsia="宋体" w:cs="宋体"/>
          <w:b w:val="0"/>
          <w:bCs w:val="0"/>
          <w:kern w:val="0"/>
          <w:sz w:val="36"/>
          <w:szCs w:val="36"/>
          <w:highlight w:val="none"/>
        </w:rPr>
        <w:t>项目编号：</w:t>
      </w:r>
      <w:r>
        <w:rPr>
          <w:rFonts w:hint="eastAsia" w:ascii="宋体" w:hAnsi="Times New Roman" w:eastAsia="宋体" w:cs="宋体"/>
          <w:b w:val="0"/>
          <w:bCs w:val="0"/>
          <w:kern w:val="0"/>
          <w:sz w:val="36"/>
          <w:szCs w:val="36"/>
          <w:highlight w:val="none"/>
          <w:lang w:eastAsia="zh-CN"/>
        </w:rPr>
        <w:t>NH20250264</w:t>
      </w:r>
      <w:r>
        <w:rPr>
          <w:rFonts w:hint="eastAsia" w:ascii="宋体" w:hAnsi="Times New Roman" w:eastAsia="宋体" w:cs="宋体"/>
          <w:kern w:val="0"/>
          <w:sz w:val="36"/>
          <w:szCs w:val="36"/>
          <w:highlight w:val="none"/>
          <w:lang w:val="en-US" w:eastAsia="zh-CN"/>
        </w:rPr>
        <w:t xml:space="preserve"> </w:t>
      </w:r>
    </w:p>
    <w:p w14:paraId="0905438D">
      <w:pPr>
        <w:kinsoku w:val="0"/>
        <w:overflowPunct w:val="0"/>
        <w:autoSpaceDE w:val="0"/>
        <w:autoSpaceDN w:val="0"/>
        <w:adjustRightInd w:val="0"/>
        <w:spacing w:before="44"/>
        <w:ind w:right="859" w:firstLine="1"/>
        <w:jc w:val="center"/>
        <w:rPr>
          <w:rFonts w:ascii="宋体" w:hAnsi="Times New Roman" w:eastAsia="宋体" w:cs="宋体"/>
          <w:b/>
          <w:bCs/>
          <w:kern w:val="0"/>
          <w:sz w:val="43"/>
          <w:szCs w:val="43"/>
          <w:highlight w:val="none"/>
        </w:rPr>
      </w:pPr>
    </w:p>
    <w:p w14:paraId="34EC6022">
      <w:pPr>
        <w:kinsoku w:val="0"/>
        <w:overflowPunct w:val="0"/>
        <w:autoSpaceDE w:val="0"/>
        <w:autoSpaceDN w:val="0"/>
        <w:adjustRightInd w:val="0"/>
        <w:spacing w:before="44"/>
        <w:ind w:right="859" w:firstLine="1"/>
        <w:jc w:val="center"/>
        <w:rPr>
          <w:rFonts w:ascii="宋体" w:hAnsi="Times New Roman" w:eastAsia="宋体" w:cs="宋体"/>
          <w:b/>
          <w:bCs/>
          <w:kern w:val="0"/>
          <w:sz w:val="43"/>
          <w:szCs w:val="43"/>
          <w:highlight w:val="none"/>
        </w:rPr>
      </w:pPr>
    </w:p>
    <w:p w14:paraId="2634DDE1">
      <w:pPr>
        <w:kinsoku w:val="0"/>
        <w:overflowPunct w:val="0"/>
        <w:autoSpaceDE w:val="0"/>
        <w:autoSpaceDN w:val="0"/>
        <w:adjustRightInd w:val="0"/>
        <w:spacing w:before="44"/>
        <w:ind w:right="-6" w:firstLine="1"/>
        <w:jc w:val="center"/>
        <w:rPr>
          <w:rFonts w:hint="eastAsia" w:ascii="宋体" w:hAnsi="Times New Roman" w:eastAsia="宋体" w:cs="宋体"/>
          <w:b/>
          <w:bCs/>
          <w:kern w:val="0"/>
          <w:sz w:val="52"/>
          <w:szCs w:val="52"/>
          <w:highlight w:val="none"/>
          <w:lang w:eastAsia="zh-CN"/>
        </w:rPr>
      </w:pPr>
      <w:r>
        <w:rPr>
          <w:rFonts w:hint="eastAsia" w:ascii="宋体" w:hAnsi="Times New Roman" w:eastAsia="宋体" w:cs="宋体"/>
          <w:b/>
          <w:bCs/>
          <w:kern w:val="0"/>
          <w:sz w:val="52"/>
          <w:szCs w:val="52"/>
          <w:highlight w:val="none"/>
          <w:lang w:eastAsia="zh-CN"/>
        </w:rPr>
        <w:t>狮山镇下柏社区本德黄公祠修缮工程</w:t>
      </w:r>
    </w:p>
    <w:p w14:paraId="44469720">
      <w:pPr>
        <w:kinsoku w:val="0"/>
        <w:overflowPunct w:val="0"/>
        <w:autoSpaceDE w:val="0"/>
        <w:autoSpaceDN w:val="0"/>
        <w:adjustRightInd w:val="0"/>
        <w:ind w:firstLine="782"/>
        <w:jc w:val="left"/>
        <w:rPr>
          <w:rFonts w:ascii="宋体" w:hAnsi="Times New Roman" w:eastAsia="宋体" w:cs="宋体"/>
          <w:b/>
          <w:bCs/>
          <w:kern w:val="0"/>
          <w:sz w:val="44"/>
          <w:szCs w:val="42"/>
          <w:highlight w:val="none"/>
        </w:rPr>
      </w:pPr>
    </w:p>
    <w:p w14:paraId="38456B52">
      <w:pPr>
        <w:kinsoku w:val="0"/>
        <w:overflowPunct w:val="0"/>
        <w:autoSpaceDE w:val="0"/>
        <w:autoSpaceDN w:val="0"/>
        <w:adjustRightInd w:val="0"/>
        <w:ind w:firstLine="782"/>
        <w:jc w:val="left"/>
        <w:rPr>
          <w:rFonts w:ascii="宋体" w:hAnsi="Times New Roman" w:eastAsia="宋体" w:cs="宋体"/>
          <w:b/>
          <w:bCs/>
          <w:kern w:val="0"/>
          <w:sz w:val="44"/>
          <w:szCs w:val="42"/>
          <w:highlight w:val="none"/>
        </w:rPr>
      </w:pPr>
    </w:p>
    <w:p w14:paraId="1464B972">
      <w:pPr>
        <w:kinsoku w:val="0"/>
        <w:overflowPunct w:val="0"/>
        <w:autoSpaceDE w:val="0"/>
        <w:autoSpaceDN w:val="0"/>
        <w:adjustRightInd w:val="0"/>
        <w:ind w:firstLine="782"/>
        <w:jc w:val="left"/>
        <w:rPr>
          <w:rFonts w:ascii="宋体" w:hAnsi="Times New Roman" w:eastAsia="宋体" w:cs="宋体"/>
          <w:b/>
          <w:bCs/>
          <w:kern w:val="0"/>
          <w:sz w:val="44"/>
          <w:szCs w:val="42"/>
          <w:highlight w:val="none"/>
        </w:rPr>
      </w:pPr>
    </w:p>
    <w:p w14:paraId="4D8C884F">
      <w:pPr>
        <w:kinsoku w:val="0"/>
        <w:overflowPunct w:val="0"/>
        <w:autoSpaceDE w:val="0"/>
        <w:autoSpaceDN w:val="0"/>
        <w:adjustRightInd w:val="0"/>
        <w:spacing w:before="273"/>
        <w:ind w:left="850" w:right="928" w:firstLine="1279"/>
        <w:jc w:val="center"/>
        <w:rPr>
          <w:rFonts w:ascii="宋体" w:hAnsi="Times New Roman" w:eastAsia="宋体" w:cs="宋体"/>
          <w:b/>
          <w:bCs/>
          <w:kern w:val="0"/>
          <w:sz w:val="72"/>
          <w:szCs w:val="66"/>
          <w:highlight w:val="none"/>
        </w:rPr>
      </w:pPr>
      <w:r>
        <w:rPr>
          <w:rFonts w:hint="eastAsia" w:ascii="宋体" w:hAnsi="Times New Roman" w:eastAsia="宋体" w:cs="宋体"/>
          <w:b/>
          <w:bCs/>
          <w:kern w:val="0"/>
          <w:sz w:val="72"/>
          <w:szCs w:val="66"/>
          <w:highlight w:val="none"/>
        </w:rPr>
        <w:t>公开选取文件</w:t>
      </w:r>
    </w:p>
    <w:p w14:paraId="7DBD87A4">
      <w:pPr>
        <w:kinsoku w:val="0"/>
        <w:overflowPunct w:val="0"/>
        <w:autoSpaceDE w:val="0"/>
        <w:autoSpaceDN w:val="0"/>
        <w:adjustRightInd w:val="0"/>
        <w:ind w:firstLine="569"/>
        <w:jc w:val="left"/>
        <w:rPr>
          <w:rFonts w:ascii="Arial" w:hAnsi="Arial" w:cs="Arial"/>
          <w:b/>
          <w:bCs/>
          <w:kern w:val="0"/>
          <w:sz w:val="32"/>
          <w:szCs w:val="28"/>
          <w:highlight w:val="none"/>
        </w:rPr>
      </w:pPr>
    </w:p>
    <w:p w14:paraId="184A9EE4">
      <w:pPr>
        <w:kinsoku w:val="0"/>
        <w:overflowPunct w:val="0"/>
        <w:autoSpaceDE w:val="0"/>
        <w:autoSpaceDN w:val="0"/>
        <w:adjustRightInd w:val="0"/>
        <w:ind w:firstLine="569"/>
        <w:jc w:val="left"/>
        <w:rPr>
          <w:rFonts w:ascii="Arial" w:hAnsi="Arial" w:cs="Arial"/>
          <w:b/>
          <w:bCs/>
          <w:kern w:val="0"/>
          <w:sz w:val="32"/>
          <w:szCs w:val="28"/>
          <w:highlight w:val="none"/>
        </w:rPr>
      </w:pPr>
    </w:p>
    <w:p w14:paraId="13109195">
      <w:pPr>
        <w:kinsoku w:val="0"/>
        <w:overflowPunct w:val="0"/>
        <w:autoSpaceDE w:val="0"/>
        <w:autoSpaceDN w:val="0"/>
        <w:adjustRightInd w:val="0"/>
        <w:ind w:firstLine="569"/>
        <w:jc w:val="left"/>
        <w:rPr>
          <w:rFonts w:ascii="Arial" w:hAnsi="Arial" w:cs="Arial"/>
          <w:b/>
          <w:bCs/>
          <w:kern w:val="0"/>
          <w:sz w:val="32"/>
          <w:szCs w:val="28"/>
          <w:highlight w:val="none"/>
        </w:rPr>
      </w:pPr>
    </w:p>
    <w:p w14:paraId="79E9E41A">
      <w:pPr>
        <w:kinsoku w:val="0"/>
        <w:overflowPunct w:val="0"/>
        <w:autoSpaceDE w:val="0"/>
        <w:autoSpaceDN w:val="0"/>
        <w:adjustRightInd w:val="0"/>
        <w:ind w:firstLine="0"/>
        <w:jc w:val="left"/>
        <w:rPr>
          <w:rFonts w:ascii="Arial" w:hAnsi="Arial" w:cs="Arial"/>
          <w:b/>
          <w:bCs/>
          <w:kern w:val="0"/>
          <w:sz w:val="32"/>
          <w:szCs w:val="28"/>
          <w:highlight w:val="none"/>
        </w:rPr>
      </w:pPr>
    </w:p>
    <w:p w14:paraId="34E828F3">
      <w:pPr>
        <w:kinsoku w:val="0"/>
        <w:overflowPunct w:val="0"/>
        <w:autoSpaceDE w:val="0"/>
        <w:autoSpaceDN w:val="0"/>
        <w:adjustRightInd w:val="0"/>
        <w:ind w:firstLine="569"/>
        <w:jc w:val="left"/>
        <w:rPr>
          <w:rFonts w:ascii="Arial" w:hAnsi="Arial" w:cs="Arial"/>
          <w:b/>
          <w:bCs/>
          <w:kern w:val="0"/>
          <w:sz w:val="32"/>
          <w:szCs w:val="28"/>
          <w:highlight w:val="none"/>
        </w:rPr>
      </w:pPr>
    </w:p>
    <w:p w14:paraId="62EBBCF0">
      <w:pPr>
        <w:kinsoku w:val="0"/>
        <w:overflowPunct w:val="0"/>
        <w:autoSpaceDE w:val="0"/>
        <w:autoSpaceDN w:val="0"/>
        <w:adjustRightInd w:val="0"/>
        <w:ind w:firstLine="569"/>
        <w:jc w:val="left"/>
        <w:rPr>
          <w:rFonts w:ascii="Arial" w:hAnsi="Arial" w:cs="Arial"/>
          <w:b/>
          <w:bCs/>
          <w:kern w:val="0"/>
          <w:sz w:val="32"/>
          <w:szCs w:val="28"/>
          <w:highlight w:val="none"/>
        </w:rPr>
      </w:pPr>
    </w:p>
    <w:p w14:paraId="23CEA8B9">
      <w:pPr>
        <w:snapToGrid w:val="0"/>
        <w:spacing w:line="600" w:lineRule="atLeast"/>
        <w:ind w:left="850" w:leftChars="405" w:firstLine="1"/>
        <w:jc w:val="center"/>
        <w:rPr>
          <w:rFonts w:hint="eastAsia" w:ascii="Calibri" w:hAnsi="Calibri" w:eastAsia="宋体" w:cs="Times New Roman"/>
          <w:sz w:val="30"/>
          <w:szCs w:val="24"/>
          <w:highlight w:val="none"/>
          <w:u w:val="single"/>
          <w:lang w:eastAsia="zh-CN"/>
        </w:rPr>
      </w:pPr>
      <w:r>
        <w:rPr>
          <w:rFonts w:hint="eastAsia" w:ascii="Calibri" w:hAnsi="Calibri" w:eastAsia="宋体" w:cs="Times New Roman"/>
          <w:sz w:val="30"/>
          <w:szCs w:val="24"/>
          <w:highlight w:val="none"/>
        </w:rPr>
        <w:t>招标人：</w:t>
      </w:r>
      <w:r>
        <w:rPr>
          <w:rFonts w:hint="eastAsia" w:ascii="Calibri" w:hAnsi="Calibri" w:eastAsia="宋体" w:cs="Times New Roman"/>
          <w:sz w:val="30"/>
          <w:szCs w:val="24"/>
          <w:highlight w:val="none"/>
          <w:u w:val="single"/>
          <w:lang w:eastAsia="zh-CN"/>
        </w:rPr>
        <w:t>佛山市南海区狮山镇下柏社区下柏经济联合社</w:t>
      </w:r>
    </w:p>
    <w:p w14:paraId="3DF9D651">
      <w:pPr>
        <w:snapToGrid w:val="0"/>
        <w:spacing w:line="600" w:lineRule="atLeast"/>
        <w:ind w:left="850" w:leftChars="405" w:firstLine="1"/>
        <w:jc w:val="center"/>
        <w:rPr>
          <w:rFonts w:ascii="Calibri" w:hAnsi="Calibri" w:eastAsia="宋体" w:cs="Times New Roman"/>
          <w:sz w:val="30"/>
          <w:szCs w:val="24"/>
          <w:highlight w:val="none"/>
        </w:rPr>
      </w:pPr>
      <w:r>
        <w:rPr>
          <w:rFonts w:hint="eastAsia" w:ascii="Calibri" w:hAnsi="Calibri" w:eastAsia="宋体" w:cs="Times New Roman"/>
          <w:sz w:val="30"/>
          <w:szCs w:val="24"/>
          <w:highlight w:val="none"/>
          <w:u w:val="single"/>
        </w:rPr>
        <w:t>（盖公章）</w:t>
      </w:r>
    </w:p>
    <w:p w14:paraId="4F32E43F">
      <w:pPr>
        <w:snapToGrid w:val="0"/>
        <w:spacing w:line="600" w:lineRule="atLeast"/>
        <w:ind w:left="850" w:leftChars="405" w:firstLine="1"/>
        <w:rPr>
          <w:rFonts w:ascii="Calibri" w:hAnsi="Calibri" w:eastAsia="宋体" w:cs="Times New Roman"/>
          <w:sz w:val="30"/>
          <w:szCs w:val="24"/>
          <w:highlight w:val="none"/>
          <w:u w:val="single"/>
        </w:rPr>
      </w:pPr>
    </w:p>
    <w:p w14:paraId="121C026F">
      <w:pPr>
        <w:snapToGrid w:val="0"/>
        <w:spacing w:line="600" w:lineRule="atLeast"/>
        <w:ind w:left="850" w:leftChars="405" w:firstLine="1"/>
        <w:rPr>
          <w:rFonts w:ascii="Calibri" w:hAnsi="Calibri" w:eastAsia="宋体" w:cs="Times New Roman"/>
          <w:sz w:val="30"/>
          <w:szCs w:val="24"/>
          <w:highlight w:val="none"/>
        </w:rPr>
      </w:pPr>
      <w:r>
        <w:rPr>
          <w:rFonts w:hint="eastAsia" w:ascii="Calibri" w:hAnsi="Calibri" w:eastAsia="宋体" w:cs="Times New Roman"/>
          <w:sz w:val="30"/>
          <w:szCs w:val="24"/>
          <w:highlight w:val="none"/>
        </w:rPr>
        <w:t>招标代理机构：</w:t>
      </w:r>
      <w:r>
        <w:rPr>
          <w:rFonts w:hint="eastAsia" w:ascii="Calibri" w:hAnsi="Calibri" w:eastAsia="宋体" w:cs="Times New Roman"/>
          <w:sz w:val="30"/>
          <w:szCs w:val="24"/>
          <w:highlight w:val="none"/>
          <w:u w:val="single"/>
          <w:lang w:eastAsia="zh-CN"/>
        </w:rPr>
        <w:t>广东嘉燊咨询有限公司</w:t>
      </w:r>
      <w:r>
        <w:rPr>
          <w:rFonts w:hint="eastAsia" w:ascii="Calibri" w:hAnsi="Calibri" w:eastAsia="宋体" w:cs="Times New Roman"/>
          <w:sz w:val="30"/>
          <w:szCs w:val="24"/>
          <w:highlight w:val="none"/>
          <w:u w:val="single"/>
        </w:rPr>
        <w:t>（盖公章）</w:t>
      </w:r>
    </w:p>
    <w:p w14:paraId="6FE26B7E">
      <w:pPr>
        <w:snapToGrid w:val="0"/>
        <w:spacing w:line="600" w:lineRule="atLeast"/>
        <w:ind w:left="850" w:leftChars="405" w:firstLine="1"/>
        <w:rPr>
          <w:rFonts w:hint="eastAsia" w:ascii="Calibri" w:hAnsi="Calibri" w:eastAsia="宋体" w:cs="Times New Roman"/>
          <w:sz w:val="30"/>
          <w:szCs w:val="24"/>
          <w:highlight w:val="none"/>
        </w:rPr>
      </w:pPr>
    </w:p>
    <w:p w14:paraId="3C03195A">
      <w:pPr>
        <w:snapToGrid w:val="0"/>
        <w:spacing w:line="600" w:lineRule="atLeast"/>
        <w:ind w:left="850" w:leftChars="405" w:firstLine="1"/>
        <w:rPr>
          <w:rFonts w:hint="eastAsia" w:ascii="宋体" w:hAnsi="宋体" w:eastAsia="宋体" w:cs="Times New Roman"/>
          <w:sz w:val="30"/>
          <w:szCs w:val="24"/>
          <w:highlight w:val="none"/>
          <w:lang w:eastAsia="zh-CN"/>
        </w:rPr>
      </w:pPr>
      <w:r>
        <w:rPr>
          <w:rFonts w:hint="eastAsia" w:ascii="Calibri" w:hAnsi="Calibri" w:eastAsia="宋体" w:cs="Times New Roman"/>
          <w:sz w:val="30"/>
          <w:szCs w:val="24"/>
          <w:highlight w:val="none"/>
        </w:rPr>
        <w:t>联系人：</w:t>
      </w:r>
      <w:r>
        <w:rPr>
          <w:rFonts w:hint="eastAsia" w:ascii="Calibri" w:hAnsi="Calibri" w:eastAsia="宋体" w:cs="Times New Roman"/>
          <w:sz w:val="30"/>
          <w:szCs w:val="24"/>
          <w:highlight w:val="none"/>
          <w:u w:val="single"/>
        </w:rPr>
        <w:t xml:space="preserve">  </w:t>
      </w:r>
      <w:r>
        <w:rPr>
          <w:rFonts w:hint="eastAsia" w:ascii="Calibri" w:hAnsi="Calibri" w:eastAsia="宋体" w:cs="Times New Roman"/>
          <w:sz w:val="30"/>
          <w:szCs w:val="24"/>
          <w:highlight w:val="none"/>
          <w:u w:val="single"/>
          <w:lang w:eastAsia="zh-CN"/>
        </w:rPr>
        <w:t>麦先生</w:t>
      </w:r>
      <w:r>
        <w:rPr>
          <w:rFonts w:hint="eastAsia" w:ascii="宋体" w:hAnsi="宋体" w:eastAsia="宋体" w:cs="Times New Roman"/>
          <w:sz w:val="30"/>
          <w:szCs w:val="24"/>
          <w:highlight w:val="none"/>
          <w:u w:val="single"/>
        </w:rPr>
        <w:t xml:space="preserve">      </w:t>
      </w:r>
      <w:r>
        <w:rPr>
          <w:rFonts w:hint="eastAsia" w:ascii="宋体" w:hAnsi="宋体" w:eastAsia="宋体" w:cs="Times New Roman"/>
          <w:sz w:val="30"/>
          <w:szCs w:val="24"/>
          <w:highlight w:val="none"/>
        </w:rPr>
        <w:t xml:space="preserve">         联系电话: </w:t>
      </w:r>
      <w:r>
        <w:rPr>
          <w:rFonts w:hint="eastAsia" w:ascii="宋体" w:hAnsi="宋体" w:eastAsia="宋体" w:cs="Times New Roman"/>
          <w:sz w:val="30"/>
          <w:szCs w:val="24"/>
          <w:highlight w:val="none"/>
          <w:u w:val="single"/>
          <w:lang w:eastAsia="zh-CN"/>
        </w:rPr>
        <w:t>0757-86223223</w:t>
      </w:r>
    </w:p>
    <w:p w14:paraId="1B82E45D">
      <w:pPr>
        <w:snapToGrid w:val="0"/>
        <w:spacing w:line="600" w:lineRule="atLeast"/>
        <w:ind w:left="850" w:leftChars="405" w:firstLine="1"/>
        <w:rPr>
          <w:rFonts w:hint="eastAsia" w:ascii="宋体" w:hAnsi="宋体" w:eastAsia="宋体" w:cs="Times New Roman"/>
          <w:sz w:val="30"/>
          <w:szCs w:val="24"/>
          <w:highlight w:val="none"/>
        </w:rPr>
      </w:pPr>
    </w:p>
    <w:p w14:paraId="7682BEB9">
      <w:pPr>
        <w:snapToGrid w:val="0"/>
        <w:spacing w:line="600" w:lineRule="atLeast"/>
        <w:ind w:left="850" w:leftChars="405" w:firstLine="1"/>
        <w:rPr>
          <w:rFonts w:hint="eastAsia" w:ascii="宋体" w:hAnsi="宋体" w:eastAsia="宋体" w:cs="Times New Roman"/>
          <w:sz w:val="30"/>
          <w:szCs w:val="24"/>
          <w:highlight w:val="none"/>
          <w:u w:val="single"/>
          <w:lang w:eastAsia="zh-CN"/>
        </w:rPr>
      </w:pPr>
      <w:r>
        <w:rPr>
          <w:rFonts w:hint="eastAsia" w:ascii="宋体" w:hAnsi="宋体" w:eastAsia="宋体" w:cs="Times New Roman"/>
          <w:sz w:val="30"/>
          <w:szCs w:val="24"/>
          <w:highlight w:val="none"/>
        </w:rPr>
        <w:t>传真号码：</w:t>
      </w:r>
      <w:r>
        <w:rPr>
          <w:rFonts w:hint="eastAsia" w:ascii="Calibri" w:hAnsi="Calibri" w:eastAsia="宋体" w:cs="Times New Roman"/>
          <w:sz w:val="30"/>
          <w:szCs w:val="24"/>
          <w:highlight w:val="none"/>
          <w:u w:val="single"/>
        </w:rPr>
        <w:t xml:space="preserve">  /</w:t>
      </w:r>
      <w:r>
        <w:rPr>
          <w:rFonts w:hint="eastAsia" w:ascii="宋体" w:hAnsi="宋体" w:eastAsia="宋体" w:cs="Times New Roman"/>
          <w:sz w:val="30"/>
          <w:szCs w:val="24"/>
          <w:highlight w:val="none"/>
          <w:u w:val="single"/>
        </w:rPr>
        <w:t xml:space="preserve">      </w:t>
      </w:r>
      <w:r>
        <w:rPr>
          <w:rFonts w:hint="eastAsia" w:ascii="宋体" w:hAnsi="宋体" w:eastAsia="宋体" w:cs="Times New Roman"/>
          <w:sz w:val="30"/>
          <w:szCs w:val="24"/>
          <w:highlight w:val="none"/>
        </w:rPr>
        <w:t xml:space="preserve">          E-mail：</w:t>
      </w:r>
      <w:r>
        <w:rPr>
          <w:rFonts w:hint="eastAsia" w:ascii="宋体" w:hAnsi="宋体" w:eastAsia="宋体" w:cs="Times New Roman"/>
          <w:sz w:val="30"/>
          <w:szCs w:val="24"/>
          <w:highlight w:val="none"/>
          <w:u w:val="single"/>
          <w:lang w:eastAsia="zh-CN"/>
        </w:rPr>
        <w:t>gd_jszx@126.com</w:t>
      </w:r>
    </w:p>
    <w:p w14:paraId="55B9B8C7">
      <w:pPr>
        <w:ind w:firstLine="3920" w:firstLineChars="1400"/>
        <w:rPr>
          <w:rFonts w:ascii="宋体" w:hAnsi="宋体" w:eastAsia="宋体" w:cs="Times New Roman"/>
          <w:sz w:val="28"/>
          <w:szCs w:val="28"/>
          <w:highlight w:val="none"/>
        </w:rPr>
      </w:pPr>
    </w:p>
    <w:p w14:paraId="062F79A0">
      <w:pPr>
        <w:ind w:firstLine="3920" w:firstLineChars="1400"/>
        <w:rPr>
          <w:rFonts w:hint="eastAsia" w:ascii="宋体" w:hAnsi="宋体" w:eastAsia="宋体" w:cs="Times New Roman"/>
          <w:sz w:val="28"/>
          <w:szCs w:val="28"/>
          <w:highlight w:val="none"/>
        </w:rPr>
      </w:pPr>
    </w:p>
    <w:p w14:paraId="3BC2F30D">
      <w:pPr>
        <w:ind w:firstLine="3920" w:firstLineChars="1400"/>
        <w:rPr>
          <w:rFonts w:ascii="宋体" w:hAnsi="宋体" w:eastAsia="宋体" w:cs="Times New Roman"/>
          <w:sz w:val="28"/>
          <w:szCs w:val="28"/>
          <w:highlight w:val="none"/>
        </w:rPr>
      </w:pPr>
      <w:r>
        <w:rPr>
          <w:rFonts w:hint="eastAsia" w:ascii="宋体" w:hAnsi="宋体" w:eastAsia="宋体" w:cs="Times New Roman"/>
          <w:sz w:val="28"/>
          <w:szCs w:val="28"/>
          <w:highlight w:val="none"/>
        </w:rPr>
        <w:t>202</w:t>
      </w:r>
      <w:r>
        <w:rPr>
          <w:rFonts w:hint="eastAsia" w:ascii="宋体" w:hAnsi="宋体" w:eastAsia="宋体" w:cs="Times New Roman"/>
          <w:sz w:val="28"/>
          <w:szCs w:val="28"/>
          <w:highlight w:val="none"/>
          <w:lang w:val="en-US" w:eastAsia="zh-CN"/>
        </w:rPr>
        <w:t>5</w:t>
      </w:r>
      <w:r>
        <w:rPr>
          <w:rFonts w:hint="eastAsia" w:ascii="宋体" w:hAnsi="宋体" w:eastAsia="宋体" w:cs="Times New Roman"/>
          <w:sz w:val="28"/>
          <w:szCs w:val="28"/>
          <w:highlight w:val="none"/>
        </w:rPr>
        <w:t>年</w:t>
      </w:r>
      <w:r>
        <w:rPr>
          <w:rFonts w:hint="eastAsia" w:ascii="宋体" w:hAnsi="宋体" w:eastAsia="宋体" w:cs="Times New Roman"/>
          <w:sz w:val="28"/>
          <w:szCs w:val="28"/>
          <w:highlight w:val="none"/>
          <w:lang w:val="en-US" w:eastAsia="zh-CN"/>
        </w:rPr>
        <w:t>6</w:t>
      </w:r>
      <w:r>
        <w:rPr>
          <w:rFonts w:hint="eastAsia" w:ascii="宋体" w:hAnsi="宋体" w:eastAsia="宋体" w:cs="Times New Roman"/>
          <w:sz w:val="28"/>
          <w:szCs w:val="28"/>
          <w:highlight w:val="none"/>
        </w:rPr>
        <w:t>月</w:t>
      </w:r>
    </w:p>
    <w:p w14:paraId="458F22DB">
      <w:pPr>
        <w:widowControl/>
        <w:jc w:val="left"/>
        <w:rPr>
          <w:rFonts w:ascii="宋体" w:hAnsi="宋体" w:eastAsia="宋体" w:cs="Times New Roman"/>
          <w:sz w:val="28"/>
          <w:szCs w:val="28"/>
          <w:highlight w:val="none"/>
        </w:rPr>
      </w:pPr>
      <w:r>
        <w:rPr>
          <w:rFonts w:ascii="宋体" w:hAnsi="宋体" w:eastAsia="宋体" w:cs="Times New Roman"/>
          <w:sz w:val="28"/>
          <w:szCs w:val="28"/>
          <w:highlight w:val="none"/>
        </w:rPr>
        <w:br w:type="page"/>
      </w:r>
    </w:p>
    <w:p w14:paraId="6A5C173A">
      <w:pPr>
        <w:ind w:firstLine="3920" w:firstLineChars="1400"/>
        <w:rPr>
          <w:rFonts w:ascii="宋体" w:hAnsi="宋体" w:eastAsia="宋体" w:cs="Times New Roman"/>
          <w:sz w:val="28"/>
          <w:szCs w:val="28"/>
          <w:highlight w:val="none"/>
        </w:rPr>
      </w:pPr>
    </w:p>
    <w:p w14:paraId="2C4A52DD">
      <w:pPr>
        <w:spacing w:line="400" w:lineRule="exact"/>
        <w:ind w:firstLine="640"/>
        <w:jc w:val="center"/>
        <w:rPr>
          <w:b/>
          <w:bCs/>
          <w:sz w:val="36"/>
          <w:szCs w:val="28"/>
          <w:highlight w:val="none"/>
        </w:rPr>
      </w:pPr>
      <w:r>
        <w:rPr>
          <w:rFonts w:hint="eastAsia"/>
          <w:b/>
          <w:bCs/>
          <w:sz w:val="36"/>
          <w:szCs w:val="28"/>
          <w:highlight w:val="none"/>
        </w:rPr>
        <w:t>第一部分  公开选取公告</w:t>
      </w:r>
    </w:p>
    <w:p w14:paraId="1DEB1F8B">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1.招标条件</w:t>
      </w:r>
    </w:p>
    <w:p w14:paraId="2726F67B">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eastAsia="zh-CN"/>
        </w:rPr>
        <w:t>狮山镇下柏社区本德黄公祠修缮工程</w:t>
      </w:r>
      <w:r>
        <w:rPr>
          <w:rFonts w:hint="eastAsia" w:ascii="宋体" w:hAnsi="宋体" w:eastAsia="宋体" w:cs="宋体"/>
          <w:sz w:val="24"/>
          <w:szCs w:val="24"/>
          <w:highlight w:val="none"/>
        </w:rPr>
        <w:t>已批准建设，招标人(项目业主)为</w:t>
      </w:r>
      <w:r>
        <w:rPr>
          <w:rFonts w:hint="eastAsia" w:ascii="宋体" w:hAnsi="宋体" w:eastAsia="宋体" w:cs="宋体"/>
          <w:sz w:val="24"/>
          <w:szCs w:val="24"/>
          <w:highlight w:val="none"/>
          <w:u w:val="single"/>
          <w:lang w:eastAsia="zh-CN"/>
        </w:rPr>
        <w:t>佛山市南海区狮山镇下柏社区下柏经济联合社</w:t>
      </w:r>
      <w:r>
        <w:rPr>
          <w:rFonts w:hint="eastAsia" w:ascii="宋体" w:hAnsi="宋体" w:eastAsia="宋体" w:cs="宋体"/>
          <w:sz w:val="24"/>
          <w:szCs w:val="24"/>
          <w:highlight w:val="none"/>
        </w:rPr>
        <w:t>，建设资金来自</w:t>
      </w:r>
      <w:r>
        <w:rPr>
          <w:rFonts w:hint="eastAsia" w:ascii="宋体" w:hAnsi="宋体" w:eastAsia="宋体" w:cs="宋体"/>
          <w:sz w:val="24"/>
          <w:szCs w:val="24"/>
          <w:highlight w:val="none"/>
          <w:u w:val="single"/>
          <w:lang w:eastAsia="zh-CN"/>
        </w:rPr>
        <w:t>自筹资金</w:t>
      </w:r>
      <w:r>
        <w:rPr>
          <w:rFonts w:hint="eastAsia" w:ascii="宋体" w:hAnsi="宋体" w:eastAsia="宋体" w:cs="宋体"/>
          <w:sz w:val="24"/>
          <w:szCs w:val="24"/>
          <w:highlight w:val="none"/>
        </w:rPr>
        <w:t>。项目已具备招标条件，现对该项目的施工进行公开选取。</w:t>
      </w:r>
    </w:p>
    <w:p w14:paraId="7728679F">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sz w:val="24"/>
          <w:szCs w:val="24"/>
          <w:highlight w:val="none"/>
        </w:rPr>
      </w:pPr>
    </w:p>
    <w:p w14:paraId="3FE53FC4">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2.工程概况与招标范围</w:t>
      </w:r>
    </w:p>
    <w:p w14:paraId="149D8830">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2.1建设地点：</w:t>
      </w:r>
      <w:r>
        <w:rPr>
          <w:rFonts w:hint="eastAsia" w:ascii="宋体" w:hAnsi="宋体" w:eastAsia="宋体" w:cs="宋体"/>
          <w:kern w:val="0"/>
          <w:sz w:val="24"/>
          <w:szCs w:val="24"/>
          <w:highlight w:val="none"/>
          <w:lang w:eastAsia="zh-CN"/>
        </w:rPr>
        <w:t>佛山市南海区狮山镇下柏社区东区村</w:t>
      </w:r>
      <w:r>
        <w:rPr>
          <w:rFonts w:hint="eastAsia" w:ascii="宋体" w:hAnsi="宋体" w:eastAsia="宋体" w:cs="宋体"/>
          <w:sz w:val="24"/>
          <w:szCs w:val="24"/>
          <w:highlight w:val="none"/>
        </w:rPr>
        <w:t>。</w:t>
      </w:r>
    </w:p>
    <w:p w14:paraId="4B78A5EA">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2.2项目建设规模：</w:t>
      </w:r>
      <w:r>
        <w:rPr>
          <w:rFonts w:hint="eastAsia" w:ascii="宋体" w:hAnsi="宋体" w:eastAsia="宋体" w:cs="宋体"/>
          <w:sz w:val="24"/>
          <w:szCs w:val="24"/>
          <w:highlight w:val="none"/>
          <w:lang w:val="en-US" w:eastAsia="zh-CN"/>
        </w:rPr>
        <w:t>本工程为对狮山镇下柏社区本德黄公祠进行修缮，本建筑物为一层，共二进，砖木结构。通面阔为13.35米，总进深为27.32米。建筑面积368.23m2。主要工作内容为:基础加固，地面恢复，墙体纠偏、清洗修复，木构件修复及防腐油饰，屋面揭瓦重铺，修复屋脊灰塑及室内外装饰构件等</w:t>
      </w:r>
      <w:r>
        <w:rPr>
          <w:rFonts w:hint="eastAsia" w:ascii="宋体" w:hAnsi="宋体" w:eastAsia="宋体" w:cs="宋体"/>
          <w:sz w:val="24"/>
          <w:szCs w:val="24"/>
          <w:highlight w:val="none"/>
        </w:rPr>
        <w:t>。</w:t>
      </w:r>
    </w:p>
    <w:p w14:paraId="10BB6CE2">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计划工期：</w:t>
      </w:r>
      <w:r>
        <w:rPr>
          <w:rFonts w:hint="eastAsia" w:ascii="宋体" w:hAnsi="宋体" w:eastAsia="宋体" w:cs="宋体"/>
          <w:sz w:val="24"/>
          <w:szCs w:val="24"/>
          <w:highlight w:val="none"/>
          <w:lang w:val="en-US" w:eastAsia="zh-CN"/>
        </w:rPr>
        <w:t>365个日历天</w:t>
      </w:r>
      <w:r>
        <w:rPr>
          <w:rFonts w:hint="eastAsia" w:ascii="宋体" w:hAnsi="宋体" w:eastAsia="宋体" w:cs="宋体"/>
          <w:sz w:val="24"/>
          <w:szCs w:val="24"/>
          <w:highlight w:val="none"/>
        </w:rPr>
        <w:t>。具体开工时间以监理人签发开工令为准，工期不因假期、雨季、设计变更、修改等因素延长。</w:t>
      </w:r>
    </w:p>
    <w:p w14:paraId="3D4BF551">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2.4招标控制价（最高投标限价）：¥</w:t>
      </w:r>
      <w:r>
        <w:rPr>
          <w:rFonts w:hint="eastAsia" w:ascii="宋体" w:hAnsi="宋体" w:eastAsia="宋体" w:cs="宋体"/>
          <w:sz w:val="24"/>
          <w:szCs w:val="24"/>
          <w:highlight w:val="none"/>
          <w:u w:val="single"/>
          <w:lang w:val="en-US" w:eastAsia="zh-CN"/>
        </w:rPr>
        <w:t xml:space="preserve"> 1221764.12 </w:t>
      </w:r>
      <w:r>
        <w:rPr>
          <w:rFonts w:hint="eastAsia" w:ascii="宋体" w:hAnsi="宋体" w:eastAsia="宋体" w:cs="宋体"/>
          <w:sz w:val="24"/>
          <w:szCs w:val="24"/>
          <w:highlight w:val="none"/>
        </w:rPr>
        <w:t>元。</w:t>
      </w:r>
    </w:p>
    <w:p w14:paraId="7FF5B8F8">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2.5本招标工程共分 1 个标段，各标段招标内容和规模：</w:t>
      </w:r>
    </w:p>
    <w:p w14:paraId="17451CDF">
      <w:pPr>
        <w:keepNext w:val="0"/>
        <w:keepLines w:val="0"/>
        <w:pageBreakBefore w:val="0"/>
        <w:widowControl w:val="0"/>
        <w:kinsoku/>
        <w:overflowPunct/>
        <w:topLinePunct w:val="0"/>
        <w:autoSpaceDE/>
        <w:autoSpaceDN/>
        <w:bidi w:val="0"/>
        <w:spacing w:line="440" w:lineRule="exact"/>
        <w:ind w:left="424" w:left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范围包括项目范围内对狮山镇下柏社区本德黄公祠进行修缮，本建筑物为一层，共二进，砖木结构。通面阔为13.35米，总进深为27.32米。建筑面积368.23m2。主要工作内容为:基础加固，地面恢复，墙体纠偏、清洗修复，木构件修复及防腐油饰，屋面揭瓦重铺，修复屋脊灰塑及室内外装饰构件等，具体详见工程量清单、施工图纸等资料</w:t>
      </w:r>
      <w:r>
        <w:rPr>
          <w:rFonts w:hint="eastAsia" w:ascii="宋体" w:hAnsi="宋体" w:eastAsia="宋体" w:cs="宋体"/>
          <w:sz w:val="24"/>
          <w:szCs w:val="24"/>
          <w:highlight w:val="none"/>
        </w:rPr>
        <w:t>。</w:t>
      </w:r>
    </w:p>
    <w:p w14:paraId="377A1259">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2.6承包方式：包工、包料、包工期、包安全、包文明施工，综合单价包干。</w:t>
      </w:r>
    </w:p>
    <w:p w14:paraId="39E03165">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2.7工程质量要求：执行国家、省或行业现行的工程建设质量验收标准及规范，须达到合格标准。</w:t>
      </w:r>
    </w:p>
    <w:p w14:paraId="7C9783E6">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安全文明施工要求：符合国家、省、市安全生产、文明施工管理相关规定。</w:t>
      </w:r>
    </w:p>
    <w:p w14:paraId="0BCE7130">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sz w:val="24"/>
          <w:szCs w:val="24"/>
          <w:highlight w:val="none"/>
        </w:rPr>
      </w:pPr>
    </w:p>
    <w:p w14:paraId="249871EF">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3.资格审查方式</w:t>
      </w:r>
    </w:p>
    <w:p w14:paraId="225F6457">
      <w:pPr>
        <w:keepNext w:val="0"/>
        <w:keepLines w:val="0"/>
        <w:pageBreakBefore w:val="0"/>
        <w:widowControl w:val="0"/>
        <w:kinsoku/>
        <w:overflowPunct/>
        <w:topLinePunct w:val="0"/>
        <w:autoSpaceDE/>
        <w:autoSpaceDN/>
        <w:bidi w:val="0"/>
        <w:spacing w:line="44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本工程采用“资格后审”的方式确定合格投标人。</w:t>
      </w:r>
    </w:p>
    <w:p w14:paraId="2FDEBD3D">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sz w:val="24"/>
          <w:szCs w:val="24"/>
          <w:highlight w:val="none"/>
        </w:rPr>
      </w:pPr>
    </w:p>
    <w:p w14:paraId="59537764">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4.投标人资格要求</w:t>
      </w:r>
    </w:p>
    <w:p w14:paraId="452ABB1D">
      <w:pPr>
        <w:keepNext w:val="0"/>
        <w:keepLines w:val="0"/>
        <w:pageBreakBefore w:val="0"/>
        <w:widowControl w:val="0"/>
        <w:kinsoku/>
        <w:overflowPunct/>
        <w:topLinePunct w:val="0"/>
        <w:autoSpaceDE/>
        <w:autoSpaceDN/>
        <w:bidi w:val="0"/>
        <w:spacing w:line="44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投标人应具备承担本工程施工的资质条件、能力和信誉，具体要求如下：</w:t>
      </w:r>
    </w:p>
    <w:p w14:paraId="427D736A">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4.1法人资格</w:t>
      </w:r>
    </w:p>
    <w:p w14:paraId="0E235CFB">
      <w:pPr>
        <w:keepNext w:val="0"/>
        <w:keepLines w:val="0"/>
        <w:pageBreakBefore w:val="0"/>
        <w:widowControl w:val="0"/>
        <w:kinsoku/>
        <w:overflowPunct/>
        <w:topLinePunct w:val="0"/>
        <w:autoSpaceDE/>
        <w:autoSpaceDN/>
        <w:bidi w:val="0"/>
        <w:spacing w:line="440" w:lineRule="exact"/>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投标人应具有独立法人资格并依法取得营业执照，营业执照处于有效期。</w:t>
      </w:r>
    </w:p>
    <w:p w14:paraId="6C4D034B">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4.2对投标人企业的资质要求</w:t>
      </w:r>
    </w:p>
    <w:p w14:paraId="38275632">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4.2.1投标人须具有承接本工程所需的</w:t>
      </w:r>
      <w:r>
        <w:rPr>
          <w:rFonts w:hint="eastAsia" w:ascii="宋体" w:hAnsi="宋体" w:eastAsia="宋体" w:cs="宋体"/>
          <w:sz w:val="24"/>
          <w:szCs w:val="24"/>
          <w:highlight w:val="none"/>
          <w:lang w:eastAsia="zh-CN"/>
        </w:rPr>
        <w:t>建筑工程施工总承包三级或以上资质</w:t>
      </w:r>
      <w:r>
        <w:rPr>
          <w:rFonts w:hint="eastAsia" w:ascii="宋体" w:hAnsi="宋体" w:eastAsia="宋体" w:cs="宋体"/>
          <w:sz w:val="24"/>
          <w:szCs w:val="24"/>
          <w:highlight w:val="none"/>
        </w:rPr>
        <w:t>。</w:t>
      </w:r>
    </w:p>
    <w:p w14:paraId="08D08B2A">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4.2.2本项目</w:t>
      </w:r>
      <w:r>
        <w:rPr>
          <w:rFonts w:hint="eastAsia" w:ascii="宋体" w:hAnsi="宋体" w:eastAsia="宋体" w:cs="宋体"/>
          <w:sz w:val="24"/>
          <w:szCs w:val="24"/>
          <w:highlight w:val="none"/>
          <w:u w:val="single"/>
        </w:rPr>
        <w:t>不接受</w:t>
      </w:r>
      <w:r>
        <w:rPr>
          <w:rFonts w:hint="eastAsia" w:ascii="宋体" w:hAnsi="宋体" w:eastAsia="宋体" w:cs="宋体"/>
          <w:sz w:val="24"/>
          <w:szCs w:val="24"/>
          <w:highlight w:val="none"/>
        </w:rPr>
        <w:t>联合体投标。</w:t>
      </w:r>
    </w:p>
    <w:p w14:paraId="4A57F591">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4.3投标人须持有有效的《安全生产许可证》。</w:t>
      </w:r>
    </w:p>
    <w:p w14:paraId="5BA18D32">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对投标人拟派项目负责人的要求</w:t>
      </w:r>
    </w:p>
    <w:p w14:paraId="32A5F11F">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4.4.1对拟派项目负责人的资格要求：1名，须具备注册于投标人本单位的</w:t>
      </w:r>
      <w:r>
        <w:rPr>
          <w:rFonts w:hint="eastAsia" w:ascii="宋体" w:hAnsi="宋体" w:eastAsia="宋体" w:cs="宋体"/>
          <w:b/>
          <w:bCs/>
          <w:sz w:val="24"/>
          <w:szCs w:val="24"/>
          <w:highlight w:val="none"/>
          <w:u w:val="single"/>
          <w:lang w:eastAsia="zh-CN"/>
        </w:rPr>
        <w:t>建筑工程</w:t>
      </w:r>
      <w:r>
        <w:rPr>
          <w:rFonts w:hint="eastAsia" w:ascii="宋体" w:hAnsi="宋体" w:eastAsia="宋体" w:cs="宋体"/>
          <w:sz w:val="24"/>
          <w:szCs w:val="24"/>
          <w:highlight w:val="none"/>
        </w:rPr>
        <w:t>专业二级（或以上级）注册建造师执业资格电子证书（一级建造师须按《住房和城乡建设部办公厅关于全面实行一级建造师电子注册证书的通知》要求提供一级建造师注册证书电子证照；在广东省外注册的二级建造师须按其注册所在地政策要求提供执业资格证明，在广东省内注册的二级建造师可提供“广东省建设执业资格注册管理信息系统”的电子注册证书打印件），并持有有效的《安全生产考核合格证（B证）》（投标人可提供所在省份相关建筑施工企业管理人员安全生产考核信息系统的证书查询信息网页打印件或电子证照打印件）。</w:t>
      </w:r>
    </w:p>
    <w:p w14:paraId="171EB7BD">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4.4.2拟派项目负责人必须在</w:t>
      </w:r>
      <w:r>
        <w:rPr>
          <w:rFonts w:hint="eastAsia" w:ascii="宋体" w:hAnsi="宋体" w:eastAsia="宋体" w:cs="宋体"/>
          <w:sz w:val="24"/>
          <w:szCs w:val="24"/>
          <w:highlight w:val="none"/>
          <w:u w:val="single"/>
          <w:lang w:eastAsia="zh-CN"/>
        </w:rPr>
        <w:t>佛山市建筑诚信评价体系管理平台</w:t>
      </w:r>
      <w:r>
        <w:rPr>
          <w:rFonts w:hint="eastAsia" w:ascii="宋体" w:hAnsi="宋体" w:eastAsia="宋体" w:cs="宋体"/>
          <w:sz w:val="24"/>
          <w:szCs w:val="24"/>
          <w:highlight w:val="none"/>
        </w:rPr>
        <w:t>登记的人员中选取，并且拟派项目负责人必须在资格审查当日未被锁定。省外进粤企业，拟派项目负责人须在“进粤企业和人员诚信信息登记平台”办理了登记手续。</w:t>
      </w:r>
    </w:p>
    <w:p w14:paraId="78A6F9E1">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4.4.3拟派项目负责人没有在其他在建项目中担任项目负责人。</w:t>
      </w:r>
    </w:p>
    <w:p w14:paraId="115CDBB7">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4.4.4需提供投标人近期（扣除发出招标公告当月往前顺推1个月）为拟派项目负责人缴纳社保资金的有效的社保证明材料。以投标人（或其分支机构）所属当地社保管理部门出具的证明材料的扫描件为准。</w:t>
      </w:r>
    </w:p>
    <w:p w14:paraId="5BF89C8E">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4.4.5投标人应慎重考虑选派一名工程项目负责人参加多个工程项目的投标竞争，如拟派项目负责人在两个及以上工程项目均中标的，只能按照不同工程项目中标通知书发出的时间先后，担任本企业最先中标工程项目的投标项目负责人。如本工程项目为后确定该企业为中标人的，招标人将取消其中标资格。</w:t>
      </w:r>
    </w:p>
    <w:p w14:paraId="4CCE194D">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对投标人企业的信誉要求</w:t>
      </w:r>
    </w:p>
    <w:p w14:paraId="4D2CBDDE">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4.5.1 目前未处于被责令停业，财产被接管、冻结，破产状态。（“冻结 ”是指被“冻结 ”的财产影响到投标人或潜在投标人的履约能力。其中财产被全部冻结的，应当不具备投标资格；财产被部分冻结，但投标人可证明财产被冻结不影响其对本招标项目履约能力的，具备投标资格。）</w:t>
      </w:r>
    </w:p>
    <w:p w14:paraId="3A6B2012">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4.5.2 目前未处于被取消投标资格的行政处罚期内。</w:t>
      </w:r>
    </w:p>
    <w:p w14:paraId="09814A2E">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4.5.3近3年内没有骗取中标和严重违约及重大工程质量问题。（“骗取中标 ”是指依据《中华人民共和国行政处罚法》所作出的《行政处罚决定书》 中所认定的违法行为；“严重违约及重大工程质量问题”则以司法、仲裁机构等出具的生效文件予以认定，其中的“重大”工程质量问题是指生效文件认定的“重大”事故等级达到《关于做好房屋建筑和市政基础设施工程质量事故报告和调查处理工作的通知》和《生产安全事故报告和调查处理条例》的标准；“最近三年 ”是指自本招标项目招标公告发出之日起往前顺推3年，以《行政处罚决定书》或司法、仲裁机构等出具的生效文件的落款时间为准。）</w:t>
      </w:r>
    </w:p>
    <w:p w14:paraId="70D44019">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4.5.4目前未被佛山市各级人民法院列为失信被执行人。</w:t>
      </w:r>
    </w:p>
    <w:p w14:paraId="6731A705">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4.5.5 目前未被佛山市公共信用信息管理系统列入失信名单。</w:t>
      </w:r>
    </w:p>
    <w:p w14:paraId="61812610">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投标人在近 3 年内（自本招标项目招标公告/投标邀请书发出之日起往前顺推，以□合同签订时间为准/☑竣工验收证明材料/竣工验收备案表/建设单位出具的完工证明载明的时间为准）完成过1项工程造价为</w:t>
      </w:r>
      <w:r>
        <w:rPr>
          <w:rFonts w:hint="eastAsia" w:ascii="宋体" w:hAnsi="宋体" w:eastAsia="宋体" w:cs="宋体"/>
          <w:sz w:val="24"/>
          <w:szCs w:val="24"/>
          <w:highlight w:val="none"/>
          <w:lang w:eastAsia="zh-CN"/>
        </w:rPr>
        <w:t>120万元</w:t>
      </w:r>
      <w:r>
        <w:rPr>
          <w:rFonts w:hint="eastAsia" w:ascii="宋体" w:hAnsi="宋体" w:eastAsia="宋体" w:cs="宋体"/>
          <w:sz w:val="24"/>
          <w:szCs w:val="24"/>
          <w:highlight w:val="none"/>
        </w:rPr>
        <w:t>或以上的</w:t>
      </w:r>
      <w:r>
        <w:rPr>
          <w:rFonts w:hint="eastAsia" w:ascii="宋体" w:hAnsi="宋体" w:eastAsia="宋体" w:cs="宋体"/>
          <w:sz w:val="24"/>
          <w:szCs w:val="24"/>
          <w:highlight w:val="none"/>
          <w:lang w:eastAsia="zh-CN"/>
        </w:rPr>
        <w:t>建筑工程</w:t>
      </w:r>
      <w:r>
        <w:rPr>
          <w:rFonts w:hint="eastAsia" w:ascii="宋体" w:hAnsi="宋体" w:eastAsia="宋体" w:cs="宋体"/>
          <w:sz w:val="24"/>
          <w:szCs w:val="24"/>
          <w:highlight w:val="none"/>
        </w:rPr>
        <w:t>施工业绩</w:t>
      </w:r>
      <w:r>
        <w:rPr>
          <w:rFonts w:hint="eastAsia" w:ascii="宋体" w:hAnsi="宋体" w:eastAsia="宋体" w:cs="宋体"/>
          <w:sz w:val="24"/>
          <w:szCs w:val="24"/>
          <w:highlight w:val="none"/>
          <w:lang w:eastAsia="zh-CN"/>
        </w:rPr>
        <w:t>。相关证明材料仅限于要求提供中标通知书、合同协议书、竣工验收证明材料/竣工验收备案表/建设单位出具的完工证明，如前述证明材料不能清晰反映有关特征和必要信息的，还需提供该项目工程业绩的业主证明材料并须附有业主方的联系人及联系电话。</w:t>
      </w:r>
    </w:p>
    <w:p w14:paraId="04F74882">
      <w:pPr>
        <w:keepNext w:val="0"/>
        <w:keepLines w:val="0"/>
        <w:pageBreakBefore w:val="0"/>
        <w:widowControl w:val="0"/>
        <w:kinsoku/>
        <w:overflowPunct/>
        <w:topLinePunct w:val="0"/>
        <w:autoSpaceDE/>
        <w:autoSpaceDN/>
        <w:bidi w:val="0"/>
        <w:spacing w:line="360" w:lineRule="exact"/>
        <w:ind w:left="0" w:firstLine="0" w:firstLineChars="0"/>
        <w:textAlignment w:val="auto"/>
        <w:rPr>
          <w:rFonts w:hint="eastAsia" w:ascii="宋体" w:hAnsi="宋体" w:eastAsia="宋体" w:cs="宋体"/>
          <w:sz w:val="24"/>
          <w:szCs w:val="24"/>
          <w:highlight w:val="none"/>
        </w:rPr>
      </w:pPr>
    </w:p>
    <w:p w14:paraId="084F1340">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5.招标文件、图纸等资料的获取</w:t>
      </w:r>
    </w:p>
    <w:p w14:paraId="405E9C9F">
      <w:pPr>
        <w:keepNext w:val="0"/>
        <w:keepLines w:val="0"/>
        <w:pageBreakBefore w:val="0"/>
        <w:widowControl w:val="0"/>
        <w:kinsoku/>
        <w:wordWrap w:val="0"/>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凡有意参加投标者，可于</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13</w:t>
      </w:r>
      <w:bookmarkStart w:id="261" w:name="_GoBack"/>
      <w:bookmarkEnd w:id="261"/>
      <w:r>
        <w:rPr>
          <w:rFonts w:hint="eastAsia" w:ascii="宋体" w:hAnsi="宋体" w:eastAsia="宋体" w:cs="宋体"/>
          <w:sz w:val="24"/>
          <w:szCs w:val="24"/>
          <w:highlight w:val="none"/>
        </w:rPr>
        <w:t>日至投标截止时间前登录南海区工程建设项目承包商选取系统下载招标文件、图纸等资料。网址：https://nhcet.nanhai.gov.cn/#/，业务咨询电话：020-38258858。</w:t>
      </w:r>
    </w:p>
    <w:p w14:paraId="792E3B25">
      <w:pPr>
        <w:keepNext w:val="0"/>
        <w:keepLines w:val="0"/>
        <w:pageBreakBefore w:val="0"/>
        <w:widowControl w:val="0"/>
        <w:kinsoku/>
        <w:wordWrap w:val="0"/>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招标文件一经在佛山市公共资源交易中心南海分中心网页（http://www.nanhai.gov.cn/fsnhq/bmdh/sydw/ggzyjyzx/jyxx/jsgc/index.html）发布，视作已发放给所有投标人，各投标人应及时下载电子版招标文件及图纸（供下载的招标文件有PDF和WORD版本时，若有不一致，以招标人盖章的PDF版本招标文件为准）。否则所造成 的一切后果由投标人自负。</w:t>
      </w:r>
    </w:p>
    <w:p w14:paraId="442A7309">
      <w:pPr>
        <w:keepNext w:val="0"/>
        <w:keepLines w:val="0"/>
        <w:pageBreakBefore w:val="0"/>
        <w:widowControl w:val="0"/>
        <w:kinsoku/>
        <w:overflowPunct/>
        <w:topLinePunct w:val="0"/>
        <w:autoSpaceDE/>
        <w:autoSpaceDN/>
        <w:bidi w:val="0"/>
        <w:spacing w:line="240" w:lineRule="exact"/>
        <w:textAlignment w:val="auto"/>
        <w:rPr>
          <w:rFonts w:hint="eastAsia" w:ascii="宋体" w:hAnsi="宋体" w:eastAsia="宋体" w:cs="宋体"/>
          <w:sz w:val="24"/>
          <w:szCs w:val="24"/>
          <w:highlight w:val="none"/>
        </w:rPr>
      </w:pPr>
    </w:p>
    <w:p w14:paraId="5AC9F276">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6.投标保证金（本项目不适用）</w:t>
      </w:r>
    </w:p>
    <w:p w14:paraId="40511CA0">
      <w:pPr>
        <w:pStyle w:val="51"/>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本工程要求投标人提交</w:t>
      </w:r>
      <w:r>
        <w:rPr>
          <w:rFonts w:hint="eastAsia" w:ascii="宋体" w:hAnsi="宋体" w:eastAsia="宋体" w:cs="宋体"/>
          <w:b/>
          <w:bCs/>
          <w:sz w:val="24"/>
          <w:szCs w:val="24"/>
          <w:highlight w:val="none"/>
          <w:u w:val="single"/>
        </w:rPr>
        <w:t xml:space="preserve">   /  万元</w:t>
      </w:r>
      <w:r>
        <w:rPr>
          <w:rFonts w:hint="eastAsia" w:ascii="宋体" w:hAnsi="宋体" w:eastAsia="宋体" w:cs="宋体"/>
          <w:sz w:val="24"/>
          <w:szCs w:val="24"/>
          <w:highlight w:val="none"/>
        </w:rPr>
        <w:t>的投标保证金。</w:t>
      </w:r>
    </w:p>
    <w:p w14:paraId="10F55997">
      <w:pPr>
        <w:pStyle w:val="51"/>
        <w:keepNext w:val="0"/>
        <w:keepLines w:val="0"/>
        <w:pageBreakBefore w:val="0"/>
        <w:widowControl w:val="0"/>
        <w:kinsoku/>
        <w:overflowPunct/>
        <w:topLinePunct w:val="0"/>
        <w:autoSpaceDE/>
        <w:autoSpaceDN/>
        <w:bidi w:val="0"/>
        <w:adjustRightInd w:val="0"/>
        <w:snapToGrid w:val="0"/>
        <w:spacing w:line="440" w:lineRule="exact"/>
        <w:ind w:left="480" w:hanging="480" w:hanging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投标人采用</w:t>
      </w:r>
      <w:r>
        <w:rPr>
          <w:rFonts w:hint="eastAsia" w:ascii="宋体" w:hAnsi="宋体" w:eastAsia="宋体" w:cs="宋体"/>
          <w:b/>
          <w:bCs/>
          <w:sz w:val="24"/>
          <w:szCs w:val="24"/>
          <w:highlight w:val="none"/>
        </w:rPr>
        <w:t>现金</w:t>
      </w:r>
      <w:r>
        <w:rPr>
          <w:rFonts w:hint="eastAsia" w:ascii="宋体" w:hAnsi="宋体" w:eastAsia="宋体" w:cs="宋体"/>
          <w:sz w:val="24"/>
          <w:szCs w:val="24"/>
          <w:highlight w:val="none"/>
        </w:rPr>
        <w:t>的形式提交投标保证金。</w:t>
      </w:r>
    </w:p>
    <w:p w14:paraId="6290052C">
      <w:pPr>
        <w:pStyle w:val="559"/>
        <w:keepNext w:val="0"/>
        <w:keepLines w:val="0"/>
        <w:pageBreakBefore w:val="0"/>
        <w:widowControl w:val="0"/>
        <w:kinsoku/>
        <w:overflowPunct/>
        <w:topLinePunct w:val="0"/>
        <w:autoSpaceDE/>
        <w:autoSpaceDN/>
        <w:bidi w:val="0"/>
        <w:adjustRightInd w:val="0"/>
        <w:snapToGrid w:val="0"/>
        <w:spacing w:line="440" w:lineRule="exact"/>
        <w:ind w:left="480" w:hanging="480" w:hanging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6.2.1 投标保证金为现金形式时，投标人应在</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日17时之前（以银行到账时间为准）提交；投标人应提前办理投标保证金手续，自行承担银行到账延误风险。</w:t>
      </w:r>
    </w:p>
    <w:p w14:paraId="588C68D4">
      <w:pPr>
        <w:keepNext w:val="0"/>
        <w:keepLines w:val="0"/>
        <w:pageBreakBefore w:val="0"/>
        <w:widowControl w:val="0"/>
        <w:kinsoku/>
        <w:overflowPunct/>
        <w:topLinePunct w:val="0"/>
        <w:autoSpaceDE/>
        <w:autoSpaceDN/>
        <w:bidi w:val="0"/>
        <w:spacing w:line="240" w:lineRule="exact"/>
        <w:textAlignment w:val="auto"/>
        <w:rPr>
          <w:rFonts w:hint="eastAsia" w:ascii="宋体" w:hAnsi="宋体" w:eastAsia="宋体" w:cs="宋体"/>
          <w:sz w:val="24"/>
          <w:szCs w:val="24"/>
          <w:highlight w:val="none"/>
        </w:rPr>
      </w:pPr>
    </w:p>
    <w:p w14:paraId="6DAE3F91">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7.投标文件的递交</w:t>
      </w:r>
    </w:p>
    <w:p w14:paraId="0EE9FA29">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 投标文件递交的截止时间</w:t>
      </w:r>
    </w:p>
    <w:p w14:paraId="138196A9">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7.1.1 投标文件递交的截止时间：202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6月20日09</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14:paraId="24284E3A">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7.1.2 开标时间：202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6月20日09</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14:paraId="2D0EC79C">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7.1.3 递交投标文件起止时间与开标时间是否有变化，请密切留意招标澄清（答疑）、补充、修改等文件中的相关信息。</w:t>
      </w:r>
    </w:p>
    <w:p w14:paraId="2C8113A1">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投标人须在投标截止前将加密的投标文件通过南海区工程建设项目承包商选取系统下成功上传，开标地点：佛山市公共资源交易中心南海分中心指定开标室(不见面开标206-6）（佛山市南海区桂城街道夏南路58号方舟一号建筑产业中心大楼2层）。</w:t>
      </w:r>
    </w:p>
    <w:p w14:paraId="7AACCE8F">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本次招标采用远程解密方式组织开标，投标人无需到场参加开标会。解密开始时间以开标现场招标人(或招标代理)在南海区工程建设项目承包商选取系统本项目点击【开始解密】按钮的时间为准，投标人须在解密时间开始后60分钟内在南海区工程建设项目承包商选取系统对本工程的电子投标文件完成解密工作。</w:t>
      </w:r>
    </w:p>
    <w:p w14:paraId="18C3E125">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在本工程投标截止时间后密切关注南海区工程建设项目承包商选取系统本项目远程解密界面信息，并按规定的时间和要求进行电子投标文件远程解密操作，因投标人自身原因导致电子投标文件在规定时间内未能成功解密的，视为无效投标。</w:t>
      </w:r>
    </w:p>
    <w:p w14:paraId="633746DC">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（3）投标人采用远程解密方式解密电子投标文件的，视为默认开标结果。</w:t>
      </w:r>
    </w:p>
    <w:p w14:paraId="0133E9E8">
      <w:pPr>
        <w:keepNext w:val="0"/>
        <w:keepLines w:val="0"/>
        <w:pageBreakBefore w:val="0"/>
        <w:widowControl w:val="0"/>
        <w:kinsoku/>
        <w:overflowPunct/>
        <w:topLinePunct w:val="0"/>
        <w:autoSpaceDE/>
        <w:autoSpaceDN/>
        <w:bidi w:val="0"/>
        <w:spacing w:line="240" w:lineRule="exact"/>
        <w:ind w:firstLine="425"/>
        <w:textAlignment w:val="auto"/>
        <w:rPr>
          <w:rFonts w:hint="eastAsia" w:ascii="宋体" w:hAnsi="宋体" w:eastAsia="宋体" w:cs="宋体"/>
          <w:b/>
          <w:sz w:val="24"/>
          <w:szCs w:val="24"/>
          <w:highlight w:val="none"/>
        </w:rPr>
      </w:pPr>
    </w:p>
    <w:p w14:paraId="5A385F08">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8.发布公告的媒介</w:t>
      </w:r>
    </w:p>
    <w:p w14:paraId="5D43899B">
      <w:pPr>
        <w:keepNext w:val="0"/>
        <w:keepLines w:val="0"/>
        <w:pageBreakBefore w:val="0"/>
        <w:widowControl w:val="0"/>
        <w:kinsoku/>
        <w:overflowPunct/>
        <w:topLinePunct w:val="0"/>
        <w:autoSpaceDE/>
        <w:autoSpaceDN/>
        <w:bidi w:val="0"/>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佛山市公共资源交易中心南海分中心网-建设工程（非法定必须招标项目）栏目（http://www.nanhai.gov.cn/fsnhq/bmdh/sydw/ggzyjyzx/jyxx/jsgc/index.html）网站公告栏发布，招标文件的澄清（答疑）、补充、修改等文件，均通过上述网站发布，投标人应及时关注项目发布的相关信息。</w:t>
      </w:r>
    </w:p>
    <w:p w14:paraId="46191DFD">
      <w:pPr>
        <w:keepNext w:val="0"/>
        <w:keepLines w:val="0"/>
        <w:pageBreakBefore w:val="0"/>
        <w:widowControl w:val="0"/>
        <w:kinsoku/>
        <w:overflowPunct/>
        <w:topLinePunct w:val="0"/>
        <w:autoSpaceDE/>
        <w:autoSpaceDN/>
        <w:bidi w:val="0"/>
        <w:spacing w:line="240" w:lineRule="exact"/>
        <w:textAlignment w:val="auto"/>
        <w:rPr>
          <w:rFonts w:hint="eastAsia" w:ascii="宋体" w:hAnsi="宋体" w:eastAsia="宋体" w:cs="宋体"/>
          <w:sz w:val="24"/>
          <w:szCs w:val="24"/>
          <w:highlight w:val="none"/>
        </w:rPr>
      </w:pPr>
    </w:p>
    <w:p w14:paraId="153784C1">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9.其他</w:t>
      </w:r>
    </w:p>
    <w:p w14:paraId="60E4E153">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rPr>
        <w:tab/>
      </w:r>
      <w:r>
        <w:rPr>
          <w:rFonts w:hint="eastAsia" w:ascii="宋体" w:hAnsi="宋体" w:eastAsia="宋体" w:cs="宋体"/>
          <w:sz w:val="24"/>
          <w:szCs w:val="24"/>
          <w:highlight w:val="none"/>
        </w:rPr>
        <w:t>递交投标文件的投标人少于3个的，招标人应当依法重新招标。</w:t>
      </w:r>
    </w:p>
    <w:p w14:paraId="723ED9EA">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本次招标采用的评定标办法是</w:t>
      </w:r>
      <w:r>
        <w:rPr>
          <w:rFonts w:hint="eastAsia" w:ascii="宋体" w:hAnsi="宋体" w:eastAsia="宋体" w:cs="宋体"/>
          <w:b/>
          <w:bCs/>
          <w:sz w:val="24"/>
          <w:szCs w:val="24"/>
          <w:highlight w:val="none"/>
          <w:u w:val="single"/>
        </w:rPr>
        <w:t>综合评估法</w:t>
      </w:r>
      <w:r>
        <w:rPr>
          <w:rFonts w:hint="eastAsia" w:ascii="宋体" w:hAnsi="宋体" w:eastAsia="宋体" w:cs="宋体"/>
          <w:sz w:val="24"/>
          <w:szCs w:val="24"/>
          <w:highlight w:val="none"/>
        </w:rPr>
        <w:t>。</w:t>
      </w:r>
    </w:p>
    <w:p w14:paraId="2A4F2888">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sz w:val="24"/>
          <w:szCs w:val="24"/>
          <w:highlight w:val="none"/>
        </w:rPr>
      </w:pPr>
    </w:p>
    <w:p w14:paraId="57070D6A">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sz w:val="24"/>
          <w:szCs w:val="24"/>
          <w:highlight w:val="none"/>
        </w:rPr>
        <w:t>0.联系方式</w:t>
      </w:r>
    </w:p>
    <w:p w14:paraId="0B903988">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 标 人：</w:t>
      </w:r>
      <w:r>
        <w:rPr>
          <w:rFonts w:hint="eastAsia" w:ascii="宋体" w:hAnsi="宋体" w:eastAsia="宋体" w:cs="宋体"/>
          <w:bCs/>
          <w:kern w:val="0"/>
          <w:sz w:val="24"/>
          <w:szCs w:val="24"/>
          <w:highlight w:val="none"/>
          <w:lang w:eastAsia="zh-CN"/>
        </w:rPr>
        <w:t>佛山市南海区狮山镇下柏社区下柏经济联合社</w:t>
      </w:r>
    </w:p>
    <w:p w14:paraId="3FA466BE">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址：佛山市南海区狮山镇下柏社区</w:t>
      </w:r>
    </w:p>
    <w:p w14:paraId="439EE965">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    话：0757-</w:t>
      </w:r>
      <w:r>
        <w:rPr>
          <w:rFonts w:hint="eastAsia" w:ascii="宋体" w:hAnsi="宋体" w:eastAsia="宋体" w:cs="宋体"/>
          <w:kern w:val="0"/>
          <w:sz w:val="24"/>
          <w:szCs w:val="24"/>
          <w:highlight w:val="none"/>
          <w:lang w:eastAsia="zh-CN"/>
        </w:rPr>
        <w:t>86436623</w:t>
      </w:r>
    </w:p>
    <w:p w14:paraId="415A1804">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 系 人：</w:t>
      </w:r>
      <w:r>
        <w:rPr>
          <w:rFonts w:hint="eastAsia" w:ascii="宋体" w:hAnsi="宋体" w:eastAsia="宋体" w:cs="宋体"/>
          <w:kern w:val="0"/>
          <w:sz w:val="24"/>
          <w:szCs w:val="24"/>
          <w:highlight w:val="none"/>
          <w:lang w:val="en-US" w:eastAsia="zh-CN"/>
        </w:rPr>
        <w:t>黄</w:t>
      </w:r>
      <w:r>
        <w:rPr>
          <w:rFonts w:hint="eastAsia" w:ascii="宋体" w:hAnsi="宋体" w:eastAsia="宋体" w:cs="宋体"/>
          <w:kern w:val="0"/>
          <w:sz w:val="24"/>
          <w:szCs w:val="24"/>
          <w:highlight w:val="none"/>
        </w:rPr>
        <w:t>先生</w:t>
      </w:r>
    </w:p>
    <w:p w14:paraId="3845C84B">
      <w:pPr>
        <w:keepNext w:val="0"/>
        <w:keepLines w:val="0"/>
        <w:pageBreakBefore w:val="0"/>
        <w:widowControl w:val="0"/>
        <w:kinsoku/>
        <w:overflowPunct/>
        <w:topLinePunct w:val="0"/>
        <w:autoSpaceDE/>
        <w:autoSpaceDN/>
        <w:bidi w:val="0"/>
        <w:spacing w:line="320" w:lineRule="exact"/>
        <w:textAlignment w:val="auto"/>
        <w:rPr>
          <w:rFonts w:hint="eastAsia" w:ascii="宋体" w:hAnsi="宋体" w:eastAsia="宋体" w:cs="宋体"/>
          <w:sz w:val="24"/>
          <w:szCs w:val="24"/>
          <w:highlight w:val="none"/>
        </w:rPr>
      </w:pPr>
    </w:p>
    <w:p w14:paraId="0263666B">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招标代理机构：</w:t>
      </w:r>
      <w:r>
        <w:rPr>
          <w:rFonts w:hint="eastAsia" w:ascii="宋体" w:hAnsi="宋体" w:eastAsia="宋体" w:cs="宋体"/>
          <w:kern w:val="0"/>
          <w:sz w:val="24"/>
          <w:szCs w:val="24"/>
          <w:highlight w:val="none"/>
          <w:lang w:eastAsia="zh-CN"/>
        </w:rPr>
        <w:t>广东嘉燊咨询有限公司</w:t>
      </w:r>
    </w:p>
    <w:p w14:paraId="73EEA593">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佛山市南海区桂城街道桂平中路65号鸿辉都市产业新城4座313房之一</w:t>
      </w:r>
    </w:p>
    <w:p w14:paraId="1127ACD4">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 系 人：</w:t>
      </w:r>
      <w:r>
        <w:rPr>
          <w:rFonts w:hint="eastAsia" w:ascii="宋体" w:hAnsi="宋体" w:eastAsia="宋体" w:cs="宋体"/>
          <w:kern w:val="0"/>
          <w:sz w:val="24"/>
          <w:szCs w:val="24"/>
          <w:highlight w:val="none"/>
          <w:lang w:eastAsia="zh-CN"/>
        </w:rPr>
        <w:t>麦先生</w:t>
      </w:r>
      <w:r>
        <w:rPr>
          <w:rFonts w:hint="eastAsia" w:ascii="宋体" w:hAnsi="宋体" w:eastAsia="宋体" w:cs="宋体"/>
          <w:kern w:val="0"/>
          <w:sz w:val="24"/>
          <w:szCs w:val="24"/>
          <w:highlight w:val="none"/>
        </w:rPr>
        <w:t xml:space="preserve">   </w:t>
      </w:r>
    </w:p>
    <w:p w14:paraId="53C58349">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lang w:eastAsia="zh-CN"/>
        </w:rPr>
        <w:t>0757-86223223</w:t>
      </w:r>
    </w:p>
    <w:p w14:paraId="2E8F0A47">
      <w:pPr>
        <w:spacing w:line="440" w:lineRule="exact"/>
        <w:rPr>
          <w:rFonts w:ascii="Times New Roman" w:hAnsi="宋体" w:eastAsia="宋体" w:cs="仿宋_GB2312"/>
          <w:sz w:val="24"/>
          <w:szCs w:val="24"/>
          <w:highlight w:val="none"/>
        </w:rPr>
      </w:pPr>
      <w:r>
        <w:rPr>
          <w:rFonts w:hint="eastAsia" w:ascii="宋体" w:hAnsi="宋体" w:eastAsia="宋体" w:cs="宋体"/>
          <w:sz w:val="24"/>
          <w:szCs w:val="24"/>
          <w:highlight w:val="none"/>
        </w:rPr>
        <w:t>邮    箱：</w:t>
      </w:r>
      <w:r>
        <w:rPr>
          <w:rFonts w:hint="eastAsia" w:ascii="宋体" w:hAnsi="宋体" w:eastAsia="宋体" w:cs="宋体"/>
          <w:kern w:val="0"/>
          <w:sz w:val="24"/>
          <w:szCs w:val="24"/>
          <w:highlight w:val="none"/>
          <w:lang w:eastAsia="zh-CN"/>
        </w:rPr>
        <w:t>gd_jszx@126.com</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 xml:space="preserve">                       </w:t>
      </w:r>
    </w:p>
    <w:p w14:paraId="6D21ECAD">
      <w:pPr>
        <w:rPr>
          <w:rFonts w:ascii="Times New Roman" w:hAnsi="宋体" w:eastAsia="宋体" w:cs="仿宋_GB2312"/>
          <w:sz w:val="24"/>
          <w:szCs w:val="24"/>
          <w:highlight w:val="none"/>
        </w:rPr>
      </w:pPr>
      <w:r>
        <w:rPr>
          <w:rFonts w:ascii="Times New Roman" w:hAnsi="宋体" w:eastAsia="宋体" w:cs="仿宋_GB2312"/>
          <w:sz w:val="24"/>
          <w:szCs w:val="24"/>
          <w:highlight w:val="none"/>
        </w:rPr>
        <w:br w:type="page"/>
      </w:r>
    </w:p>
    <w:p w14:paraId="4B54B0D0">
      <w:pPr>
        <w:rPr>
          <w:rFonts w:ascii="Times New Roman" w:hAnsi="宋体" w:eastAsia="宋体" w:cs="仿宋_GB2312"/>
          <w:sz w:val="24"/>
          <w:szCs w:val="24"/>
          <w:highlight w:val="none"/>
        </w:rPr>
      </w:pPr>
    </w:p>
    <w:p w14:paraId="39F2E1B3">
      <w:pPr>
        <w:kinsoku w:val="0"/>
        <w:overflowPunct w:val="0"/>
        <w:autoSpaceDE w:val="0"/>
        <w:autoSpaceDN w:val="0"/>
        <w:adjustRightInd w:val="0"/>
        <w:ind w:left="850" w:right="856"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第二部分 报名须知</w:t>
      </w:r>
    </w:p>
    <w:tbl>
      <w:tblPr>
        <w:tblStyle w:val="61"/>
        <w:tblW w:w="9350"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09"/>
        <w:gridCol w:w="709"/>
        <w:gridCol w:w="1134"/>
        <w:gridCol w:w="6798"/>
      </w:tblGrid>
      <w:tr w14:paraId="67D5184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2D53D390">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0224084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计划立项文号</w:t>
            </w:r>
          </w:p>
        </w:tc>
        <w:tc>
          <w:tcPr>
            <w:tcW w:w="6798" w:type="dxa"/>
            <w:tcBorders>
              <w:top w:val="single" w:color="auto" w:sz="6" w:space="0"/>
              <w:left w:val="single" w:color="auto" w:sz="6" w:space="0"/>
              <w:bottom w:val="single" w:color="auto" w:sz="6" w:space="0"/>
              <w:right w:val="single" w:color="auto" w:sz="6" w:space="0"/>
            </w:tcBorders>
            <w:vAlign w:val="center"/>
          </w:tcPr>
          <w:p w14:paraId="2EB4418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w:t>
            </w:r>
          </w:p>
        </w:tc>
      </w:tr>
      <w:tr w14:paraId="51C7DE7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3BD7DE2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92056F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规划许可证号</w:t>
            </w:r>
          </w:p>
        </w:tc>
        <w:tc>
          <w:tcPr>
            <w:tcW w:w="6798" w:type="dxa"/>
            <w:tcBorders>
              <w:top w:val="single" w:color="auto" w:sz="6" w:space="0"/>
              <w:left w:val="single" w:color="auto" w:sz="6" w:space="0"/>
              <w:bottom w:val="single" w:color="auto" w:sz="6" w:space="0"/>
              <w:right w:val="single" w:color="auto" w:sz="6" w:space="0"/>
            </w:tcBorders>
            <w:vAlign w:val="center"/>
          </w:tcPr>
          <w:p w14:paraId="2E39ABA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w:t>
            </w:r>
          </w:p>
        </w:tc>
      </w:tr>
      <w:tr w14:paraId="59D1D45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33F0E24B">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3</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13F4CCC">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工程勘察单位</w:t>
            </w:r>
          </w:p>
        </w:tc>
        <w:tc>
          <w:tcPr>
            <w:tcW w:w="6798" w:type="dxa"/>
            <w:tcBorders>
              <w:top w:val="single" w:color="auto" w:sz="6" w:space="0"/>
              <w:left w:val="single" w:color="auto" w:sz="6" w:space="0"/>
              <w:bottom w:val="single" w:color="auto" w:sz="6" w:space="0"/>
              <w:right w:val="single" w:color="auto" w:sz="6" w:space="0"/>
            </w:tcBorders>
            <w:vAlign w:val="center"/>
          </w:tcPr>
          <w:p w14:paraId="776FCD9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w:t>
            </w:r>
          </w:p>
        </w:tc>
      </w:tr>
      <w:tr w14:paraId="1214E96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12A3B379">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08025F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工程设计单位</w:t>
            </w:r>
          </w:p>
        </w:tc>
        <w:tc>
          <w:tcPr>
            <w:tcW w:w="6798" w:type="dxa"/>
            <w:tcBorders>
              <w:top w:val="single" w:color="auto" w:sz="6" w:space="0"/>
              <w:left w:val="single" w:color="auto" w:sz="6" w:space="0"/>
              <w:bottom w:val="single" w:color="auto" w:sz="6" w:space="0"/>
              <w:right w:val="single" w:color="auto" w:sz="6" w:space="0"/>
            </w:tcBorders>
            <w:vAlign w:val="center"/>
          </w:tcPr>
          <w:p w14:paraId="62C9FBF3">
            <w:pPr>
              <w:pStyle w:val="254"/>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广东宏图建筑设计有限公司</w:t>
            </w:r>
          </w:p>
        </w:tc>
      </w:tr>
      <w:tr w14:paraId="183D8BE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5F6F16D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708B379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工程监理单位</w:t>
            </w:r>
          </w:p>
        </w:tc>
        <w:tc>
          <w:tcPr>
            <w:tcW w:w="6798" w:type="dxa"/>
            <w:tcBorders>
              <w:top w:val="single" w:color="auto" w:sz="6" w:space="0"/>
              <w:left w:val="single" w:color="auto" w:sz="6" w:space="0"/>
              <w:bottom w:val="single" w:color="auto" w:sz="6" w:space="0"/>
              <w:right w:val="single" w:color="auto" w:sz="6" w:space="0"/>
            </w:tcBorders>
            <w:vAlign w:val="center"/>
          </w:tcPr>
          <w:p w14:paraId="1BC00067">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u w:val="singl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已确定监理单位            </w:t>
            </w: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未确定监理单位</w:t>
            </w:r>
          </w:p>
        </w:tc>
      </w:tr>
      <w:tr w14:paraId="47B43E8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1EDEE1B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A17AF15">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提供设计图纸</w:t>
            </w:r>
          </w:p>
        </w:tc>
        <w:tc>
          <w:tcPr>
            <w:tcW w:w="6798" w:type="dxa"/>
            <w:tcBorders>
              <w:top w:val="single" w:color="auto" w:sz="6" w:space="0"/>
              <w:left w:val="single" w:color="auto" w:sz="6" w:space="0"/>
              <w:bottom w:val="single" w:color="auto" w:sz="6" w:space="0"/>
              <w:right w:val="single" w:color="auto" w:sz="6" w:space="0"/>
            </w:tcBorders>
            <w:vAlign w:val="center"/>
          </w:tcPr>
          <w:p w14:paraId="2CB11CED">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u w:val="single"/>
              </w:rPr>
            </w:pPr>
            <w:bookmarkStart w:id="0" w:name="op1_t7_1"/>
            <w:r>
              <w:rPr>
                <w:rFonts w:hint="eastAsia" w:ascii="宋体" w:hAnsi="宋体" w:eastAsia="宋体" w:cs="宋体"/>
                <w:sz w:val="24"/>
                <w:szCs w:val="24"/>
                <w:highlight w:val="none"/>
              </w:rPr>
              <w:sym w:font="Wingdings 2" w:char="F0A3"/>
            </w:r>
            <w:bookmarkEnd w:id="0"/>
            <w:r>
              <w:rPr>
                <w:rFonts w:hint="eastAsia" w:ascii="宋体" w:hAnsi="宋体" w:eastAsia="宋体" w:cs="宋体"/>
                <w:sz w:val="24"/>
                <w:szCs w:val="24"/>
                <w:highlight w:val="none"/>
              </w:rPr>
              <w:t>图纸目录，</w:t>
            </w:r>
            <w:r>
              <w:rPr>
                <w:rFonts w:hint="eastAsia" w:ascii="宋体" w:hAnsi="宋体" w:eastAsia="宋体" w:cs="宋体"/>
                <w:sz w:val="24"/>
                <w:szCs w:val="24"/>
                <w:highlight w:val="none"/>
              </w:rPr>
              <w:sym w:font="Wingdings 2" w:char="0052"/>
            </w:r>
            <w:r>
              <w:rPr>
                <w:rStyle w:val="64"/>
                <w:rFonts w:hint="eastAsia" w:ascii="宋体" w:hAnsi="宋体" w:eastAsia="宋体" w:cs="宋体"/>
                <w:b w:val="0"/>
                <w:sz w:val="24"/>
                <w:szCs w:val="24"/>
                <w:highlight w:val="none"/>
              </w:rPr>
              <w:t>施工全图</w:t>
            </w:r>
            <w:bookmarkStart w:id="1" w:name="blank_t7_1"/>
            <w:r>
              <w:rPr>
                <w:rStyle w:val="64"/>
                <w:rFonts w:hint="eastAsia" w:ascii="宋体" w:hAnsi="宋体" w:eastAsia="宋体" w:cs="宋体"/>
                <w:b w:val="0"/>
                <w:sz w:val="24"/>
                <w:szCs w:val="24"/>
                <w:highlight w:val="none"/>
                <w:u w:val="single"/>
              </w:rPr>
              <w:t xml:space="preserve">  1  </w:t>
            </w:r>
            <w:bookmarkEnd w:id="1"/>
            <w:r>
              <w:rPr>
                <w:rStyle w:val="64"/>
                <w:rFonts w:hint="eastAsia" w:ascii="宋体" w:hAnsi="宋体" w:eastAsia="宋体" w:cs="宋体"/>
                <w:b w:val="0"/>
                <w:sz w:val="24"/>
                <w:szCs w:val="24"/>
                <w:highlight w:val="none"/>
              </w:rPr>
              <w:t>套，</w:t>
            </w:r>
            <w:bookmarkStart w:id="2" w:name="op1_t7_3"/>
            <w:r>
              <w:rPr>
                <w:rStyle w:val="64"/>
                <w:rFonts w:hint="eastAsia" w:ascii="宋体" w:hAnsi="宋体" w:eastAsia="宋体" w:cs="宋体"/>
                <w:b w:val="0"/>
                <w:sz w:val="24"/>
                <w:szCs w:val="24"/>
                <w:highlight w:val="none"/>
              </w:rPr>
              <w:sym w:font="Wingdings 2" w:char="F0A3"/>
            </w:r>
            <w:bookmarkEnd w:id="2"/>
            <w:r>
              <w:rPr>
                <w:rFonts w:hint="eastAsia" w:ascii="宋体" w:hAnsi="宋体" w:eastAsia="宋体" w:cs="宋体"/>
                <w:sz w:val="24"/>
                <w:szCs w:val="24"/>
                <w:highlight w:val="none"/>
              </w:rPr>
              <w:t>设计变更文件</w:t>
            </w:r>
            <w:bookmarkStart w:id="3" w:name="blank_t7_3"/>
            <w:r>
              <w:rPr>
                <w:rFonts w:hint="eastAsia" w:ascii="宋体" w:hAnsi="宋体" w:eastAsia="宋体" w:cs="宋体"/>
                <w:sz w:val="24"/>
                <w:szCs w:val="24"/>
                <w:highlight w:val="none"/>
                <w:u w:val="single"/>
              </w:rPr>
              <w:t xml:space="preserve">   </w:t>
            </w:r>
            <w:bookmarkEnd w:id="3"/>
            <w:r>
              <w:rPr>
                <w:rFonts w:hint="eastAsia" w:ascii="宋体" w:hAnsi="宋体" w:eastAsia="宋体" w:cs="宋体"/>
                <w:sz w:val="24"/>
                <w:szCs w:val="24"/>
                <w:highlight w:val="none"/>
              </w:rPr>
              <w:t>份。</w:t>
            </w:r>
          </w:p>
        </w:tc>
      </w:tr>
      <w:tr w14:paraId="4D8818E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75"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1213583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B1FA5B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资金来源情况</w:t>
            </w:r>
          </w:p>
        </w:tc>
        <w:tc>
          <w:tcPr>
            <w:tcW w:w="6798" w:type="dxa"/>
            <w:tcBorders>
              <w:top w:val="single" w:color="auto" w:sz="6" w:space="0"/>
              <w:left w:val="single" w:color="auto" w:sz="6" w:space="0"/>
              <w:bottom w:val="single" w:color="auto" w:sz="6" w:space="0"/>
              <w:right w:val="single" w:color="auto" w:sz="6" w:space="0"/>
            </w:tcBorders>
            <w:vAlign w:val="center"/>
          </w:tcPr>
          <w:p w14:paraId="6B8DB783">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政府</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国有</w:t>
            </w:r>
            <w:bookmarkStart w:id="4" w:name="blank_t8_2"/>
            <w:r>
              <w:rPr>
                <w:rFonts w:hint="eastAsia" w:ascii="宋体" w:hAnsi="宋体" w:eastAsia="宋体" w:cs="宋体"/>
                <w:sz w:val="24"/>
                <w:szCs w:val="24"/>
                <w:highlight w:val="none"/>
                <w:u w:val="single"/>
              </w:rPr>
              <w:t xml:space="preserve">   </w:t>
            </w:r>
            <w:bookmarkEnd w:id="4"/>
            <w:r>
              <w:rPr>
                <w:rFonts w:hint="eastAsia" w:ascii="宋体" w:hAnsi="宋体" w:eastAsia="宋体" w:cs="宋体"/>
                <w:sz w:val="24"/>
                <w:szCs w:val="24"/>
                <w:highlight w:val="none"/>
              </w:rPr>
              <w:t>%,</w:t>
            </w:r>
            <w:r>
              <w:rPr>
                <w:rStyle w:val="64"/>
                <w:rFonts w:hint="eastAsia" w:ascii="宋体" w:hAnsi="宋体" w:eastAsia="宋体" w:cs="宋体"/>
                <w:b w:val="0"/>
                <w:sz w:val="24"/>
                <w:szCs w:val="24"/>
                <w:highlight w:val="none"/>
              </w:rPr>
              <w:sym w:font="Wingdings 2" w:char="0052"/>
            </w:r>
            <w:r>
              <w:rPr>
                <w:rFonts w:hint="eastAsia" w:ascii="宋体" w:hAnsi="宋体" w:eastAsia="宋体" w:cs="宋体"/>
                <w:sz w:val="24"/>
                <w:szCs w:val="24"/>
                <w:highlight w:val="none"/>
              </w:rPr>
              <w:t>集体</w:t>
            </w:r>
            <w:r>
              <w:rPr>
                <w:rFonts w:hint="eastAsia" w:cs="宋体"/>
                <w:sz w:val="24"/>
                <w:szCs w:val="24"/>
                <w:highlight w:val="none"/>
                <w:u w:val="single"/>
                <w:lang w:val="en-US" w:eastAsia="zh-CN"/>
              </w:rPr>
              <w:t>100</w:t>
            </w:r>
            <w:r>
              <w:rPr>
                <w:rFonts w:hint="eastAsia" w:ascii="宋体" w:hAnsi="宋体" w:eastAsia="宋体" w:cs="宋体"/>
                <w:sz w:val="24"/>
                <w:szCs w:val="24"/>
                <w:highlight w:val="none"/>
              </w:rPr>
              <w:t>%,</w:t>
            </w:r>
            <w:bookmarkStart w:id="5" w:name="op1_t8_4"/>
            <w:r>
              <w:rPr>
                <w:rFonts w:hint="eastAsia" w:ascii="宋体" w:hAnsi="宋体" w:eastAsia="宋体" w:cs="宋体"/>
                <w:sz w:val="24"/>
                <w:szCs w:val="24"/>
                <w:highlight w:val="none"/>
              </w:rPr>
              <w:sym w:font="Wingdings 2" w:char="F0A3"/>
            </w:r>
            <w:bookmarkEnd w:id="5"/>
            <w:r>
              <w:rPr>
                <w:rFonts w:hint="eastAsia" w:ascii="宋体" w:hAnsi="宋体" w:eastAsia="宋体" w:cs="宋体"/>
                <w:sz w:val="24"/>
                <w:szCs w:val="24"/>
                <w:highlight w:val="none"/>
              </w:rPr>
              <w:t>私营</w:t>
            </w:r>
            <w:bookmarkStart w:id="6" w:name="blank_t8_4"/>
            <w:r>
              <w:rPr>
                <w:rFonts w:hint="eastAsia" w:ascii="宋体" w:hAnsi="宋体" w:eastAsia="宋体" w:cs="宋体"/>
                <w:sz w:val="24"/>
                <w:szCs w:val="24"/>
                <w:highlight w:val="none"/>
                <w:u w:val="single"/>
              </w:rPr>
              <w:t xml:space="preserve">   </w:t>
            </w:r>
            <w:bookmarkEnd w:id="6"/>
            <w:r>
              <w:rPr>
                <w:rFonts w:hint="eastAsia" w:ascii="宋体" w:hAnsi="宋体" w:eastAsia="宋体" w:cs="宋体"/>
                <w:sz w:val="24"/>
                <w:szCs w:val="24"/>
                <w:highlight w:val="none"/>
              </w:rPr>
              <w:t>%,</w:t>
            </w:r>
            <w:bookmarkStart w:id="7" w:name="op1_t8_5"/>
            <w:r>
              <w:rPr>
                <w:rFonts w:hint="eastAsia" w:ascii="宋体" w:hAnsi="宋体" w:eastAsia="宋体" w:cs="宋体"/>
                <w:sz w:val="24"/>
                <w:szCs w:val="24"/>
                <w:highlight w:val="none"/>
              </w:rPr>
              <w:sym w:font="Wingdings 2" w:char="F0A3"/>
            </w:r>
            <w:bookmarkEnd w:id="7"/>
            <w:r>
              <w:rPr>
                <w:rFonts w:hint="eastAsia" w:ascii="宋体" w:hAnsi="宋体" w:eastAsia="宋体" w:cs="宋体"/>
                <w:sz w:val="24"/>
                <w:szCs w:val="24"/>
                <w:highlight w:val="none"/>
              </w:rPr>
              <w:t>外资</w:t>
            </w:r>
            <w:bookmarkStart w:id="8" w:name="blank_t8_5"/>
            <w:r>
              <w:rPr>
                <w:rFonts w:hint="eastAsia" w:ascii="宋体" w:hAnsi="宋体" w:eastAsia="宋体" w:cs="宋体"/>
                <w:sz w:val="24"/>
                <w:szCs w:val="24"/>
                <w:highlight w:val="none"/>
                <w:u w:val="single"/>
              </w:rPr>
              <w:t xml:space="preserve">    </w:t>
            </w:r>
            <w:bookmarkEnd w:id="8"/>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其它：</w:t>
            </w:r>
            <w:r>
              <w:rPr>
                <w:rFonts w:hint="eastAsia" w:ascii="宋体" w:hAnsi="宋体" w:eastAsia="宋体" w:cs="宋体"/>
                <w:sz w:val="24"/>
                <w:szCs w:val="24"/>
                <w:highlight w:val="none"/>
                <w:u w:val="single"/>
              </w:rPr>
              <w:t xml:space="preserve">     </w:t>
            </w:r>
          </w:p>
        </w:tc>
      </w:tr>
      <w:tr w14:paraId="0677225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47D1155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7BC4609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资金到位情况</w:t>
            </w:r>
          </w:p>
        </w:tc>
        <w:tc>
          <w:tcPr>
            <w:tcW w:w="6798" w:type="dxa"/>
            <w:tcBorders>
              <w:top w:val="single" w:color="auto" w:sz="6" w:space="0"/>
              <w:left w:val="single" w:color="auto" w:sz="6" w:space="0"/>
              <w:bottom w:val="single" w:color="auto" w:sz="6" w:space="0"/>
              <w:right w:val="single" w:color="auto" w:sz="6" w:space="0"/>
            </w:tcBorders>
            <w:vAlign w:val="center"/>
          </w:tcPr>
          <w:p w14:paraId="576F744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全部到位  </w:t>
            </w:r>
            <w:bookmarkStart w:id="9" w:name="op1_t9_2"/>
            <w:r>
              <w:rPr>
                <w:rFonts w:hint="eastAsia" w:ascii="宋体" w:hAnsi="宋体" w:eastAsia="宋体" w:cs="宋体"/>
                <w:sz w:val="24"/>
                <w:szCs w:val="24"/>
                <w:highlight w:val="none"/>
              </w:rPr>
              <w:sym w:font="Wingdings 2" w:char="F0A3"/>
            </w:r>
            <w:bookmarkEnd w:id="9"/>
            <w:r>
              <w:rPr>
                <w:rFonts w:hint="eastAsia" w:ascii="宋体" w:hAnsi="宋体" w:eastAsia="宋体" w:cs="宋体"/>
                <w:sz w:val="24"/>
                <w:szCs w:val="24"/>
                <w:highlight w:val="none"/>
              </w:rPr>
              <w:t xml:space="preserve">50%以上到位  </w:t>
            </w:r>
            <w:bookmarkStart w:id="10" w:name="op1_t9_3"/>
            <w:r>
              <w:rPr>
                <w:rFonts w:hint="eastAsia" w:ascii="宋体" w:hAnsi="宋体" w:eastAsia="宋体" w:cs="宋体"/>
                <w:sz w:val="24"/>
                <w:szCs w:val="24"/>
                <w:highlight w:val="none"/>
              </w:rPr>
              <w:sym w:font="Wingdings 2" w:char="F0A3"/>
            </w:r>
            <w:bookmarkEnd w:id="10"/>
            <w:r>
              <w:rPr>
                <w:rFonts w:hint="eastAsia" w:ascii="宋体" w:hAnsi="宋体" w:eastAsia="宋体" w:cs="宋体"/>
                <w:sz w:val="24"/>
                <w:szCs w:val="24"/>
                <w:highlight w:val="none"/>
              </w:rPr>
              <w:t xml:space="preserve">启动资金到位 </w:t>
            </w:r>
            <w:bookmarkStart w:id="11" w:name="op1_t9_4"/>
            <w:r>
              <w:rPr>
                <w:rFonts w:hint="eastAsia" w:ascii="宋体" w:hAnsi="宋体" w:eastAsia="宋体" w:cs="宋体"/>
                <w:sz w:val="24"/>
                <w:szCs w:val="24"/>
                <w:highlight w:val="none"/>
              </w:rPr>
              <w:sym w:font="Wingdings 2" w:char="F0A3"/>
            </w:r>
            <w:bookmarkEnd w:id="11"/>
            <w:r>
              <w:rPr>
                <w:rFonts w:hint="eastAsia" w:ascii="宋体" w:hAnsi="宋体" w:eastAsia="宋体" w:cs="宋体"/>
                <w:sz w:val="24"/>
                <w:szCs w:val="24"/>
                <w:highlight w:val="none"/>
              </w:rPr>
              <w:t xml:space="preserve"> </w:t>
            </w:r>
            <w:bookmarkStart w:id="12" w:name="blank_t9_1"/>
            <w:r>
              <w:rPr>
                <w:rFonts w:hint="eastAsia" w:ascii="宋体" w:hAnsi="宋体" w:eastAsia="宋体" w:cs="宋体"/>
                <w:sz w:val="24"/>
                <w:szCs w:val="24"/>
                <w:highlight w:val="none"/>
                <w:u w:val="single"/>
              </w:rPr>
              <w:t xml:space="preserve">     </w:t>
            </w:r>
            <w:bookmarkEnd w:id="12"/>
          </w:p>
        </w:tc>
      </w:tr>
      <w:tr w14:paraId="7EF9388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88" w:hRule="atLeast"/>
          <w:jc w:val="center"/>
        </w:trPr>
        <w:tc>
          <w:tcPr>
            <w:tcW w:w="709" w:type="dxa"/>
            <w:vMerge w:val="restart"/>
            <w:tcBorders>
              <w:top w:val="single" w:color="auto" w:sz="6" w:space="0"/>
              <w:left w:val="single" w:color="auto" w:sz="6" w:space="0"/>
              <w:bottom w:val="single" w:color="auto" w:sz="6" w:space="0"/>
              <w:right w:val="single" w:color="auto" w:sz="6" w:space="0"/>
            </w:tcBorders>
            <w:vAlign w:val="center"/>
          </w:tcPr>
          <w:p w14:paraId="31F8BCE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709" w:type="dxa"/>
            <w:vMerge w:val="restart"/>
            <w:tcBorders>
              <w:top w:val="single" w:color="auto" w:sz="6" w:space="0"/>
              <w:left w:val="single" w:color="auto" w:sz="6" w:space="0"/>
              <w:bottom w:val="single" w:color="auto" w:sz="6" w:space="0"/>
              <w:right w:val="single" w:color="auto" w:sz="6" w:space="0"/>
            </w:tcBorders>
            <w:vAlign w:val="center"/>
          </w:tcPr>
          <w:p w14:paraId="3208F990">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建设     </w:t>
            </w:r>
            <w:r>
              <w:rPr>
                <w:rStyle w:val="64"/>
                <w:rFonts w:hint="eastAsia" w:ascii="宋体" w:hAnsi="宋体" w:eastAsia="宋体" w:cs="宋体"/>
                <w:b w:val="0"/>
                <w:bCs w:val="0"/>
                <w:spacing w:val="20"/>
                <w:sz w:val="24"/>
                <w:szCs w:val="24"/>
                <w:highlight w:val="none"/>
              </w:rPr>
              <w:t>工程</w:t>
            </w:r>
          </w:p>
        </w:tc>
        <w:tc>
          <w:tcPr>
            <w:tcW w:w="1134" w:type="dxa"/>
            <w:tcBorders>
              <w:top w:val="single" w:color="auto" w:sz="6" w:space="0"/>
              <w:left w:val="single" w:color="auto" w:sz="6" w:space="0"/>
              <w:bottom w:val="single" w:color="auto" w:sz="6" w:space="0"/>
              <w:right w:val="single" w:color="auto" w:sz="6" w:space="0"/>
            </w:tcBorders>
            <w:vAlign w:val="center"/>
          </w:tcPr>
          <w:p w14:paraId="7CE23BB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工程</w:t>
            </w:r>
          </w:p>
          <w:p w14:paraId="4DE13EE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类型</w:t>
            </w:r>
          </w:p>
        </w:tc>
        <w:tc>
          <w:tcPr>
            <w:tcW w:w="6798" w:type="dxa"/>
            <w:tcBorders>
              <w:top w:val="single" w:color="auto" w:sz="6" w:space="0"/>
              <w:left w:val="single" w:color="auto" w:sz="6" w:space="0"/>
              <w:bottom w:val="single" w:color="auto" w:sz="6" w:space="0"/>
              <w:right w:val="single" w:color="auto" w:sz="6" w:space="0"/>
            </w:tcBorders>
            <w:vAlign w:val="center"/>
          </w:tcPr>
          <w:p w14:paraId="4A1380DA">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bCs w:val="0"/>
                <w:sz w:val="24"/>
                <w:szCs w:val="24"/>
                <w:highlight w:val="none"/>
                <w:u w:val="singl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房屋建筑 </w:t>
            </w:r>
            <w:bookmarkStart w:id="13" w:name="op1_t10_2"/>
            <w:r>
              <w:rPr>
                <w:rFonts w:hint="eastAsia" w:ascii="宋体" w:hAnsi="宋体" w:eastAsia="宋体" w:cs="宋体"/>
                <w:sz w:val="24"/>
                <w:szCs w:val="24"/>
                <w:highlight w:val="none"/>
              </w:rPr>
              <w:sym w:font="Wingdings 2" w:char="F0A3"/>
            </w:r>
            <w:bookmarkEnd w:id="13"/>
            <w:r>
              <w:rPr>
                <w:rFonts w:hint="eastAsia" w:ascii="宋体" w:hAnsi="宋体" w:eastAsia="宋体" w:cs="宋体"/>
                <w:sz w:val="24"/>
                <w:szCs w:val="24"/>
                <w:highlight w:val="none"/>
              </w:rPr>
              <w:t>公路工程</w:t>
            </w:r>
            <w:bookmarkStart w:id="14" w:name="op1_t10_4"/>
            <w:r>
              <w:rPr>
                <w:rFonts w:hint="eastAsia" w:ascii="宋体" w:hAnsi="宋体" w:eastAsia="宋体" w:cs="宋体"/>
                <w:sz w:val="24"/>
                <w:szCs w:val="24"/>
                <w:highlight w:val="none"/>
              </w:rPr>
              <w:t xml:space="preserve"> </w:t>
            </w:r>
            <w:bookmarkEnd w:id="14"/>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水利水电 </w:t>
            </w:r>
            <w:bookmarkStart w:id="15" w:name="op1_t10_5"/>
            <w:r>
              <w:rPr>
                <w:rFonts w:hint="eastAsia" w:ascii="宋体" w:hAnsi="宋体" w:eastAsia="宋体" w:cs="宋体"/>
                <w:sz w:val="24"/>
                <w:szCs w:val="24"/>
                <w:highlight w:val="none"/>
              </w:rPr>
              <w:sym w:font="Wingdings 2" w:char="F0A3"/>
            </w:r>
            <w:bookmarkEnd w:id="15"/>
            <w:r>
              <w:rPr>
                <w:rFonts w:hint="eastAsia" w:ascii="宋体" w:hAnsi="宋体" w:eastAsia="宋体" w:cs="宋体"/>
                <w:sz w:val="24"/>
                <w:szCs w:val="24"/>
                <w:highlight w:val="none"/>
              </w:rPr>
              <w:t>电力工程</w:t>
            </w:r>
            <w:bookmarkStart w:id="16" w:name="op1_t10_7"/>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0052"/>
            </w:r>
            <w:bookmarkEnd w:id="16"/>
            <w:r>
              <w:rPr>
                <w:rFonts w:hint="eastAsia" w:cs="宋体"/>
                <w:sz w:val="24"/>
                <w:szCs w:val="24"/>
                <w:highlight w:val="none"/>
                <w:lang w:eastAsia="zh-CN"/>
              </w:rPr>
              <w:t>建筑工程</w:t>
            </w:r>
            <w:r>
              <w:rPr>
                <w:rFonts w:hint="eastAsia" w:ascii="宋体" w:hAnsi="宋体" w:eastAsia="宋体" w:cs="宋体"/>
                <w:sz w:val="24"/>
                <w:szCs w:val="24"/>
                <w:highlight w:val="none"/>
              </w:rPr>
              <w:t xml:space="preserve"> </w:t>
            </w:r>
            <w:bookmarkStart w:id="17" w:name="op1_t10_9"/>
            <w:r>
              <w:rPr>
                <w:rFonts w:hint="eastAsia" w:ascii="宋体" w:hAnsi="宋体" w:eastAsia="宋体" w:cs="宋体"/>
                <w:sz w:val="24"/>
                <w:szCs w:val="24"/>
                <w:highlight w:val="none"/>
              </w:rPr>
              <w:sym w:font="Wingdings 2" w:char="F0A3"/>
            </w:r>
            <w:bookmarkEnd w:id="17"/>
            <w:r>
              <w:rPr>
                <w:rFonts w:hint="eastAsia" w:ascii="宋体" w:hAnsi="宋体" w:eastAsia="宋体" w:cs="宋体"/>
                <w:sz w:val="24"/>
                <w:szCs w:val="24"/>
                <w:highlight w:val="none"/>
              </w:rPr>
              <w:t xml:space="preserve">机电安装 </w:t>
            </w:r>
            <w:bookmarkStart w:id="18" w:name="op1_t10_10"/>
            <w:r>
              <w:rPr>
                <w:rFonts w:hint="eastAsia" w:ascii="宋体" w:hAnsi="宋体" w:eastAsia="宋体" w:cs="宋体"/>
                <w:sz w:val="24"/>
                <w:szCs w:val="24"/>
                <w:highlight w:val="none"/>
              </w:rPr>
              <w:sym w:font="Wingdings 2" w:char="F0A3"/>
            </w:r>
            <w:bookmarkEnd w:id="18"/>
            <w:r>
              <w:rPr>
                <w:rFonts w:hint="eastAsia" w:ascii="宋体" w:hAnsi="宋体" w:eastAsia="宋体" w:cs="宋体"/>
                <w:sz w:val="24"/>
                <w:szCs w:val="24"/>
                <w:highlight w:val="none"/>
              </w:rPr>
              <w:t xml:space="preserve">土石方 </w:t>
            </w: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园林绿化 </w:t>
            </w:r>
            <w:bookmarkStart w:id="19" w:name="op1_t10_11"/>
            <w:r>
              <w:rPr>
                <w:rFonts w:hint="eastAsia" w:ascii="宋体" w:hAnsi="宋体" w:eastAsia="宋体" w:cs="宋体"/>
                <w:sz w:val="24"/>
                <w:szCs w:val="24"/>
                <w:highlight w:val="none"/>
              </w:rPr>
              <w:sym w:font="Wingdings 2" w:char="F0A3"/>
            </w:r>
            <w:bookmarkEnd w:id="19"/>
            <w:r>
              <w:rPr>
                <w:rFonts w:hint="eastAsia" w:ascii="宋体" w:hAnsi="宋体" w:eastAsia="宋体" w:cs="宋体"/>
                <w:sz w:val="24"/>
                <w:szCs w:val="24"/>
                <w:highlight w:val="none"/>
                <w:u w:val="single"/>
              </w:rPr>
              <w:t xml:space="preserve">              </w:t>
            </w:r>
          </w:p>
        </w:tc>
      </w:tr>
      <w:tr w14:paraId="1683F44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18" w:hRule="atLeast"/>
          <w:jc w:val="center"/>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79A1725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387E896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11722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工程</w:t>
            </w:r>
          </w:p>
          <w:p w14:paraId="37DF1D4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bCs w:val="0"/>
                <w:sz w:val="24"/>
                <w:szCs w:val="24"/>
                <w:highlight w:val="none"/>
              </w:rPr>
              <w:t>概况</w:t>
            </w:r>
          </w:p>
        </w:tc>
        <w:tc>
          <w:tcPr>
            <w:tcW w:w="6798" w:type="dxa"/>
            <w:tcBorders>
              <w:top w:val="single" w:color="auto" w:sz="6" w:space="0"/>
              <w:left w:val="single" w:color="auto" w:sz="6" w:space="0"/>
              <w:bottom w:val="single" w:color="auto" w:sz="6" w:space="0"/>
              <w:right w:val="single" w:color="auto" w:sz="6" w:space="0"/>
            </w:tcBorders>
            <w:vAlign w:val="center"/>
          </w:tcPr>
          <w:p w14:paraId="07A5A83F">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bCs w:val="0"/>
                <w:sz w:val="24"/>
                <w:szCs w:val="24"/>
                <w:highlight w:val="none"/>
              </w:rPr>
            </w:pPr>
            <w:r>
              <w:rPr>
                <w:rFonts w:hint="eastAsia" w:cs="宋体"/>
                <w:sz w:val="24"/>
                <w:szCs w:val="24"/>
                <w:highlight w:val="none"/>
                <w:lang w:eastAsia="zh-CN"/>
              </w:rPr>
              <w:t>本工程为狮山镇下柏社区本德黄公祠修缮工程，修缮内容包括：对狮山镇下柏社区本德黄公祠进行修缮，本建筑物为一层，共二进，砖木结构。通面阔为13.35米，总进深为27.32米。建筑面积368.23m2。主要工作内容为:基础加固，地面恢复，墙体纠偏、清洗修复，木构件修复及防腐油饰，屋面揭瓦重铺，修复屋脊灰塑及室内外装饰构件等</w:t>
            </w:r>
            <w:r>
              <w:rPr>
                <w:rFonts w:hint="eastAsia" w:ascii="宋体" w:hAnsi="宋体" w:eastAsia="宋体" w:cs="宋体"/>
                <w:sz w:val="24"/>
                <w:szCs w:val="24"/>
                <w:highlight w:val="none"/>
              </w:rPr>
              <w:t xml:space="preserve">。                                           </w:t>
            </w:r>
          </w:p>
        </w:tc>
      </w:tr>
      <w:tr w14:paraId="606C189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58" w:hRule="atLeast"/>
          <w:jc w:val="center"/>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66963F52">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577EB00B">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26355D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bCs w:val="0"/>
                <w:sz w:val="24"/>
                <w:szCs w:val="24"/>
                <w:highlight w:val="none"/>
              </w:rPr>
              <w:t>招标内容及范围</w:t>
            </w:r>
          </w:p>
        </w:tc>
        <w:tc>
          <w:tcPr>
            <w:tcW w:w="6798" w:type="dxa"/>
            <w:tcBorders>
              <w:top w:val="single" w:color="auto" w:sz="6" w:space="0"/>
              <w:left w:val="single" w:color="auto" w:sz="6" w:space="0"/>
              <w:bottom w:val="single" w:color="auto" w:sz="6" w:space="0"/>
              <w:right w:val="single" w:color="auto" w:sz="6" w:space="0"/>
            </w:tcBorders>
            <w:vAlign w:val="center"/>
          </w:tcPr>
          <w:p w14:paraId="54965628">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20" w:name="op1_t10_12"/>
            <w:r>
              <w:rPr>
                <w:rFonts w:hint="eastAsia" w:ascii="宋体" w:hAnsi="宋体" w:eastAsia="宋体" w:cs="宋体"/>
                <w:sz w:val="24"/>
                <w:szCs w:val="24"/>
                <w:highlight w:val="none"/>
              </w:rPr>
              <w:sym w:font="Wingdings 2" w:char="F0A3"/>
            </w:r>
            <w:bookmarkEnd w:id="20"/>
            <w:r>
              <w:rPr>
                <w:rFonts w:hint="eastAsia" w:ascii="宋体" w:hAnsi="宋体" w:eastAsia="宋体" w:cs="宋体"/>
                <w:sz w:val="24"/>
                <w:szCs w:val="24"/>
                <w:highlight w:val="none"/>
              </w:rPr>
              <w:t xml:space="preserve">地基基础  </w:t>
            </w:r>
            <w:bookmarkStart w:id="21" w:name="op1_t10_13"/>
            <w:r>
              <w:rPr>
                <w:rFonts w:hint="eastAsia" w:ascii="宋体" w:hAnsi="宋体" w:eastAsia="宋体" w:cs="宋体"/>
                <w:sz w:val="24"/>
                <w:szCs w:val="24"/>
                <w:highlight w:val="none"/>
              </w:rPr>
              <w:sym w:font="Wingdings 2" w:char="F0A3"/>
            </w:r>
            <w:bookmarkEnd w:id="21"/>
            <w:r>
              <w:rPr>
                <w:rFonts w:hint="eastAsia" w:ascii="宋体" w:hAnsi="宋体" w:eastAsia="宋体" w:cs="宋体"/>
                <w:sz w:val="24"/>
                <w:szCs w:val="24"/>
                <w:highlight w:val="none"/>
              </w:rPr>
              <w:t xml:space="preserve">土 石 方  </w:t>
            </w:r>
            <w:bookmarkStart w:id="22" w:name="op1_t10_14"/>
            <w:r>
              <w:rPr>
                <w:rFonts w:hint="eastAsia" w:ascii="宋体" w:hAnsi="宋体" w:eastAsia="宋体" w:cs="宋体"/>
                <w:sz w:val="24"/>
                <w:szCs w:val="24"/>
                <w:highlight w:val="none"/>
              </w:rPr>
              <w:sym w:font="Wingdings 2" w:char="F0A3"/>
            </w:r>
            <w:bookmarkEnd w:id="22"/>
            <w:r>
              <w:rPr>
                <w:rFonts w:hint="eastAsia" w:ascii="宋体" w:hAnsi="宋体" w:eastAsia="宋体" w:cs="宋体"/>
                <w:sz w:val="24"/>
                <w:szCs w:val="24"/>
                <w:highlight w:val="none"/>
              </w:rPr>
              <w:t xml:space="preserve">主体结构  </w:t>
            </w:r>
            <w:bookmarkStart w:id="23" w:name="op1_t10_15"/>
            <w:r>
              <w:rPr>
                <w:rFonts w:hint="eastAsia" w:ascii="宋体" w:hAnsi="宋体" w:eastAsia="宋体" w:cs="宋体"/>
                <w:sz w:val="24"/>
                <w:szCs w:val="24"/>
                <w:highlight w:val="none"/>
              </w:rPr>
              <w:sym w:font="Wingdings 2" w:char="F0A3"/>
            </w:r>
            <w:bookmarkEnd w:id="23"/>
            <w:r>
              <w:rPr>
                <w:rFonts w:hint="eastAsia" w:ascii="宋体" w:hAnsi="宋体" w:eastAsia="宋体" w:cs="宋体"/>
                <w:sz w:val="24"/>
                <w:szCs w:val="24"/>
                <w:highlight w:val="none"/>
              </w:rPr>
              <w:t xml:space="preserve">建筑防水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室外给排水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装修装饰  </w:t>
            </w:r>
            <w:bookmarkStart w:id="24" w:name="op1_t10_18"/>
            <w:r>
              <w:rPr>
                <w:rFonts w:hint="eastAsia" w:ascii="宋体" w:hAnsi="宋体" w:eastAsia="宋体" w:cs="宋体"/>
                <w:sz w:val="24"/>
                <w:szCs w:val="24"/>
                <w:highlight w:val="none"/>
              </w:rPr>
              <w:sym w:font="Wingdings 2" w:char="F0A3"/>
            </w:r>
            <w:bookmarkEnd w:id="24"/>
            <w:r>
              <w:rPr>
                <w:rFonts w:hint="eastAsia" w:ascii="宋体" w:hAnsi="宋体" w:eastAsia="宋体" w:cs="宋体"/>
                <w:sz w:val="24"/>
                <w:szCs w:val="24"/>
                <w:highlight w:val="none"/>
              </w:rPr>
              <w:t xml:space="preserve">钢结构  </w:t>
            </w:r>
            <w:bookmarkStart w:id="25" w:name="op1_t10_19"/>
            <w:r>
              <w:rPr>
                <w:rFonts w:hint="eastAsia" w:ascii="宋体" w:hAnsi="宋体" w:eastAsia="宋体" w:cs="宋体"/>
                <w:sz w:val="24"/>
                <w:szCs w:val="24"/>
                <w:highlight w:val="none"/>
              </w:rPr>
              <w:sym w:font="Wingdings 2" w:char="F0A3"/>
            </w:r>
            <w:bookmarkEnd w:id="25"/>
            <w:r>
              <w:rPr>
                <w:rFonts w:hint="eastAsia" w:ascii="宋体" w:hAnsi="宋体" w:eastAsia="宋体" w:cs="宋体"/>
                <w:sz w:val="24"/>
                <w:szCs w:val="24"/>
                <w:highlight w:val="none"/>
              </w:rPr>
              <w:t xml:space="preserve">建筑幕墙  </w:t>
            </w:r>
            <w:bookmarkStart w:id="26" w:name="op1_t10_20"/>
            <w:r>
              <w:rPr>
                <w:rFonts w:hint="eastAsia" w:ascii="宋体" w:hAnsi="宋体" w:eastAsia="宋体" w:cs="宋体"/>
                <w:sz w:val="24"/>
                <w:szCs w:val="24"/>
                <w:highlight w:val="none"/>
              </w:rPr>
              <w:sym w:font="Wingdings 2" w:char="F0A3"/>
            </w:r>
            <w:bookmarkEnd w:id="26"/>
            <w:r>
              <w:rPr>
                <w:rFonts w:hint="eastAsia" w:ascii="宋体" w:hAnsi="宋体" w:eastAsia="宋体" w:cs="宋体"/>
                <w:sz w:val="24"/>
                <w:szCs w:val="24"/>
                <w:highlight w:val="none"/>
              </w:rPr>
              <w:t xml:space="preserve">设备安装  </w:t>
            </w:r>
            <w:bookmarkStart w:id="27" w:name="op1_t10_21"/>
            <w:r>
              <w:rPr>
                <w:rFonts w:hint="eastAsia" w:ascii="宋体" w:hAnsi="宋体" w:eastAsia="宋体" w:cs="宋体"/>
                <w:sz w:val="24"/>
                <w:szCs w:val="24"/>
                <w:highlight w:val="none"/>
              </w:rPr>
              <w:sym w:font="Wingdings 2" w:char="F0A3"/>
            </w:r>
            <w:bookmarkEnd w:id="27"/>
            <w:r>
              <w:rPr>
                <w:rFonts w:hint="eastAsia" w:ascii="宋体" w:hAnsi="宋体" w:eastAsia="宋体" w:cs="宋体"/>
                <w:sz w:val="24"/>
                <w:szCs w:val="24"/>
                <w:highlight w:val="none"/>
              </w:rPr>
              <w:t xml:space="preserve">水电安装  </w:t>
            </w:r>
            <w:bookmarkStart w:id="28" w:name="op1_t10_22"/>
            <w:r>
              <w:rPr>
                <w:rFonts w:hint="eastAsia" w:ascii="宋体" w:hAnsi="宋体" w:eastAsia="宋体" w:cs="宋体"/>
                <w:sz w:val="24"/>
                <w:szCs w:val="24"/>
                <w:highlight w:val="none"/>
              </w:rPr>
              <w:sym w:font="Wingdings 2" w:char="F0A3"/>
            </w:r>
            <w:bookmarkEnd w:id="28"/>
            <w:r>
              <w:rPr>
                <w:rFonts w:hint="eastAsia" w:ascii="宋体" w:hAnsi="宋体" w:eastAsia="宋体" w:cs="宋体"/>
                <w:sz w:val="24"/>
                <w:szCs w:val="24"/>
                <w:highlight w:val="none"/>
              </w:rPr>
              <w:t xml:space="preserve">消防工程  </w:t>
            </w:r>
            <w:bookmarkStart w:id="29" w:name="op1_t10_23"/>
            <w:r>
              <w:rPr>
                <w:rFonts w:hint="eastAsia" w:ascii="宋体" w:hAnsi="宋体" w:eastAsia="宋体" w:cs="宋体"/>
                <w:sz w:val="24"/>
                <w:szCs w:val="24"/>
                <w:highlight w:val="none"/>
              </w:rPr>
              <w:sym w:font="Wingdings 2" w:char="F0A3"/>
            </w:r>
            <w:bookmarkEnd w:id="29"/>
            <w:r>
              <w:rPr>
                <w:rFonts w:hint="eastAsia" w:ascii="宋体" w:hAnsi="宋体" w:eastAsia="宋体" w:cs="宋体"/>
                <w:sz w:val="24"/>
                <w:szCs w:val="24"/>
                <w:highlight w:val="none"/>
              </w:rPr>
              <w:t xml:space="preserve">园林绿化  </w:t>
            </w:r>
            <w:bookmarkStart w:id="30" w:name="op1_t10_24"/>
            <w:r>
              <w:rPr>
                <w:rFonts w:hint="eastAsia" w:ascii="宋体" w:hAnsi="宋体" w:eastAsia="宋体" w:cs="宋体"/>
                <w:sz w:val="24"/>
                <w:szCs w:val="24"/>
                <w:highlight w:val="none"/>
              </w:rPr>
              <w:sym w:font="Wingdings 2" w:char="F0A3"/>
            </w:r>
            <w:bookmarkEnd w:id="30"/>
            <w:r>
              <w:rPr>
                <w:rFonts w:hint="eastAsia" w:ascii="宋体" w:hAnsi="宋体" w:eastAsia="宋体" w:cs="宋体"/>
                <w:sz w:val="24"/>
                <w:szCs w:val="24"/>
                <w:highlight w:val="none"/>
              </w:rPr>
              <w:t xml:space="preserve">防腐保温  </w:t>
            </w:r>
            <w:bookmarkStart w:id="31" w:name="op1_t10_25"/>
            <w:r>
              <w:rPr>
                <w:rFonts w:hint="eastAsia" w:ascii="宋体" w:hAnsi="宋体" w:eastAsia="宋体" w:cs="宋体"/>
                <w:sz w:val="24"/>
                <w:szCs w:val="24"/>
                <w:highlight w:val="none"/>
              </w:rPr>
              <w:sym w:font="Wingdings 2" w:char="F0A3"/>
            </w:r>
            <w:bookmarkEnd w:id="31"/>
            <w:r>
              <w:rPr>
                <w:rFonts w:hint="eastAsia" w:ascii="宋体" w:hAnsi="宋体" w:eastAsia="宋体" w:cs="宋体"/>
                <w:sz w:val="24"/>
                <w:szCs w:val="24"/>
                <w:highlight w:val="none"/>
              </w:rPr>
              <w:t xml:space="preserve">拆除工程  </w:t>
            </w:r>
            <w:bookmarkStart w:id="32" w:name="op1_t10_26"/>
            <w:r>
              <w:rPr>
                <w:rFonts w:hint="eastAsia" w:ascii="宋体" w:hAnsi="宋体" w:eastAsia="宋体" w:cs="宋体"/>
                <w:sz w:val="24"/>
                <w:szCs w:val="24"/>
                <w:highlight w:val="none"/>
              </w:rPr>
              <w:sym w:font="Wingdings 2" w:char="F0A3"/>
            </w:r>
            <w:bookmarkEnd w:id="32"/>
            <w:r>
              <w:rPr>
                <w:rFonts w:hint="eastAsia" w:ascii="宋体" w:hAnsi="宋体" w:eastAsia="宋体" w:cs="宋体"/>
                <w:sz w:val="24"/>
                <w:szCs w:val="24"/>
                <w:highlight w:val="none"/>
              </w:rPr>
              <w:t xml:space="preserve">加建工程  </w:t>
            </w:r>
            <w:bookmarkStart w:id="33" w:name="op1_t10_27"/>
            <w:r>
              <w:rPr>
                <w:rFonts w:hint="eastAsia" w:ascii="宋体" w:hAnsi="宋体" w:eastAsia="宋体" w:cs="宋体"/>
                <w:sz w:val="24"/>
                <w:szCs w:val="24"/>
                <w:highlight w:val="none"/>
              </w:rPr>
              <w:sym w:font="Wingdings 2" w:char="F0A3"/>
            </w:r>
            <w:bookmarkEnd w:id="33"/>
            <w:r>
              <w:rPr>
                <w:rFonts w:hint="eastAsia" w:ascii="宋体" w:hAnsi="宋体" w:eastAsia="宋体" w:cs="宋体"/>
                <w:sz w:val="24"/>
                <w:szCs w:val="24"/>
                <w:highlight w:val="none"/>
              </w:rPr>
              <w:t xml:space="preserve">智能化  </w:t>
            </w:r>
            <w:bookmarkStart w:id="34" w:name="op1_t10_28"/>
            <w:r>
              <w:rPr>
                <w:rFonts w:hint="eastAsia" w:ascii="宋体" w:hAnsi="宋体" w:eastAsia="宋体" w:cs="宋体"/>
                <w:sz w:val="24"/>
                <w:szCs w:val="24"/>
                <w:highlight w:val="none"/>
              </w:rPr>
              <w:sym w:font="Wingdings 2" w:char="F0A3"/>
            </w:r>
            <w:bookmarkEnd w:id="34"/>
            <w:r>
              <w:rPr>
                <w:rFonts w:hint="eastAsia" w:ascii="宋体" w:hAnsi="宋体" w:eastAsia="宋体" w:cs="宋体"/>
                <w:sz w:val="24"/>
                <w:szCs w:val="24"/>
                <w:highlight w:val="none"/>
              </w:rPr>
              <w:t xml:space="preserve">路 基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路  面  </w:t>
            </w:r>
            <w:bookmarkStart w:id="35" w:name="op1_t10_30"/>
            <w:r>
              <w:rPr>
                <w:rFonts w:hint="eastAsia" w:ascii="宋体" w:hAnsi="宋体" w:eastAsia="宋体" w:cs="宋体"/>
                <w:sz w:val="24"/>
                <w:szCs w:val="24"/>
                <w:highlight w:val="none"/>
              </w:rPr>
              <w:sym w:font="Wingdings 2" w:char="F0A3"/>
            </w:r>
            <w:bookmarkEnd w:id="35"/>
            <w:r>
              <w:rPr>
                <w:rFonts w:hint="eastAsia" w:ascii="宋体" w:hAnsi="宋体" w:eastAsia="宋体" w:cs="宋体"/>
                <w:sz w:val="24"/>
                <w:szCs w:val="24"/>
                <w:highlight w:val="none"/>
              </w:rPr>
              <w:t xml:space="preserve">桥梁  </w:t>
            </w:r>
            <w:bookmarkStart w:id="36" w:name="op1_t10_31"/>
            <w:r>
              <w:rPr>
                <w:rFonts w:hint="eastAsia" w:ascii="宋体" w:hAnsi="宋体" w:eastAsia="宋体" w:cs="宋体"/>
                <w:sz w:val="24"/>
                <w:szCs w:val="24"/>
                <w:highlight w:val="none"/>
              </w:rPr>
              <w:sym w:font="Wingdings 2" w:char="F0A3"/>
            </w:r>
            <w:bookmarkEnd w:id="36"/>
            <w:r>
              <w:rPr>
                <w:rFonts w:hint="eastAsia" w:ascii="宋体" w:hAnsi="宋体" w:eastAsia="宋体" w:cs="宋体"/>
                <w:sz w:val="24"/>
                <w:szCs w:val="24"/>
                <w:highlight w:val="none"/>
              </w:rPr>
              <w:t xml:space="preserve">管道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交通设施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道路照明  </w:t>
            </w:r>
            <w:bookmarkStart w:id="37" w:name="op1_t10_34"/>
            <w:r>
              <w:rPr>
                <w:rFonts w:hint="eastAsia" w:ascii="宋体" w:hAnsi="宋体" w:eastAsia="宋体" w:cs="宋体"/>
                <w:sz w:val="24"/>
                <w:szCs w:val="24"/>
                <w:highlight w:val="none"/>
              </w:rPr>
              <w:sym w:font="Wingdings 2" w:char="F0A3"/>
            </w:r>
            <w:bookmarkEnd w:id="37"/>
            <w:r>
              <w:rPr>
                <w:rFonts w:hint="eastAsia" w:ascii="宋体" w:hAnsi="宋体" w:eastAsia="宋体" w:cs="宋体"/>
                <w:sz w:val="24"/>
                <w:szCs w:val="24"/>
                <w:highlight w:val="none"/>
              </w:rPr>
              <w:t xml:space="preserve">通 信  </w:t>
            </w:r>
            <w:bookmarkStart w:id="38" w:name="op1_t10_35"/>
            <w:r>
              <w:rPr>
                <w:rFonts w:hint="eastAsia" w:ascii="宋体" w:hAnsi="宋体" w:eastAsia="宋体" w:cs="宋体"/>
                <w:sz w:val="24"/>
                <w:szCs w:val="24"/>
                <w:highlight w:val="none"/>
              </w:rPr>
              <w:sym w:font="Wingdings 2" w:char="F0A3"/>
            </w:r>
            <w:bookmarkEnd w:id="38"/>
            <w:r>
              <w:rPr>
                <w:rFonts w:hint="eastAsia" w:ascii="宋体" w:hAnsi="宋体" w:eastAsia="宋体" w:cs="宋体"/>
                <w:sz w:val="24"/>
                <w:szCs w:val="24"/>
                <w:highlight w:val="none"/>
              </w:rPr>
              <w:t xml:space="preserve">体育场地设施  </w:t>
            </w:r>
            <w:bookmarkStart w:id="39" w:name="op1_t10_36"/>
            <w:r>
              <w:rPr>
                <w:rFonts w:hint="eastAsia" w:ascii="宋体" w:hAnsi="宋体" w:eastAsia="宋体" w:cs="宋体"/>
                <w:sz w:val="24"/>
                <w:szCs w:val="24"/>
                <w:highlight w:val="none"/>
              </w:rPr>
              <w:sym w:font="Wingdings 2" w:char="F0A3"/>
            </w:r>
            <w:bookmarkEnd w:id="39"/>
            <w:r>
              <w:rPr>
                <w:rFonts w:hint="eastAsia" w:ascii="宋体" w:hAnsi="宋体" w:eastAsia="宋体" w:cs="宋体"/>
                <w:sz w:val="24"/>
                <w:szCs w:val="24"/>
                <w:highlight w:val="none"/>
              </w:rPr>
              <w:t xml:space="preserve">特种专业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lang w:eastAsia="zh-CN"/>
              </w:rPr>
              <w:t>招标范围包括项目范围内对狮山镇下柏社区本德黄公祠进行修缮，本建筑物为一层，共二进，砖木结构。通面阔为13.35米，总进深为27.32米。建筑面积368.23m2。主要工作内容为:基础加固，地面恢复，墙体纠偏、清洗修复，木构件修复及防腐油饰，屋面揭瓦重铺，修复屋脊灰塑及室内外装饰构件等，具体详见工程量清单、施工图纸等资料</w:t>
            </w:r>
            <w:r>
              <w:rPr>
                <w:rFonts w:hint="eastAsia" w:ascii="宋体" w:hAnsi="宋体" w:eastAsia="宋体" w:cs="宋体"/>
                <w:sz w:val="24"/>
                <w:szCs w:val="24"/>
                <w:highlight w:val="none"/>
                <w:u w:val="single"/>
              </w:rPr>
              <w:t>。</w:t>
            </w:r>
          </w:p>
        </w:tc>
      </w:tr>
      <w:tr w14:paraId="6388A0E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16"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59785FE8">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10</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55C113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现场条件</w:t>
            </w:r>
          </w:p>
        </w:tc>
        <w:tc>
          <w:tcPr>
            <w:tcW w:w="6798" w:type="dxa"/>
            <w:tcBorders>
              <w:top w:val="single" w:color="auto" w:sz="6" w:space="0"/>
              <w:left w:val="single" w:color="auto" w:sz="6" w:space="0"/>
              <w:bottom w:val="single" w:color="auto" w:sz="6" w:space="0"/>
              <w:right w:val="single" w:color="auto" w:sz="6" w:space="0"/>
            </w:tcBorders>
            <w:vAlign w:val="center"/>
          </w:tcPr>
          <w:p w14:paraId="0076C27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施工用水</w:t>
            </w:r>
            <w:bookmarkStart w:id="40" w:name="blank_t11_1"/>
            <w:r>
              <w:rPr>
                <w:rFonts w:hint="eastAsia" w:ascii="宋体" w:hAnsi="宋体" w:eastAsia="宋体" w:cs="宋体"/>
                <w:sz w:val="24"/>
                <w:szCs w:val="24"/>
                <w:highlight w:val="none"/>
                <w:u w:val="single"/>
              </w:rPr>
              <w:t xml:space="preserve">  已  </w:t>
            </w:r>
            <w:bookmarkEnd w:id="40"/>
            <w:r>
              <w:rPr>
                <w:rFonts w:hint="eastAsia" w:ascii="宋体" w:hAnsi="宋体" w:eastAsia="宋体" w:cs="宋体"/>
                <w:sz w:val="24"/>
                <w:szCs w:val="24"/>
                <w:highlight w:val="none"/>
              </w:rPr>
              <w:t>通。</w:t>
            </w:r>
          </w:p>
          <w:p w14:paraId="2095222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施工用电[220V/380V]电源</w:t>
            </w:r>
            <w:bookmarkStart w:id="41" w:name="blank_t11_3"/>
            <w:r>
              <w:rPr>
                <w:rFonts w:hint="eastAsia" w:ascii="宋体" w:hAnsi="宋体" w:eastAsia="宋体" w:cs="宋体"/>
                <w:sz w:val="24"/>
                <w:szCs w:val="24"/>
                <w:highlight w:val="none"/>
                <w:u w:val="single"/>
              </w:rPr>
              <w:t xml:space="preserve">   已  </w:t>
            </w:r>
            <w:bookmarkEnd w:id="41"/>
            <w:r>
              <w:rPr>
                <w:rFonts w:hint="eastAsia" w:ascii="宋体" w:hAnsi="宋体" w:eastAsia="宋体" w:cs="宋体"/>
                <w:sz w:val="24"/>
                <w:szCs w:val="24"/>
                <w:highlight w:val="none"/>
              </w:rPr>
              <w:t>通。</w:t>
            </w:r>
          </w:p>
          <w:p w14:paraId="4A224C9F">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临时道路</w:t>
            </w:r>
            <w:bookmarkStart w:id="42" w:name="blank_t11_5"/>
            <w:r>
              <w:rPr>
                <w:rFonts w:hint="eastAsia" w:ascii="宋体" w:hAnsi="宋体" w:eastAsia="宋体" w:cs="宋体"/>
                <w:sz w:val="24"/>
                <w:szCs w:val="24"/>
                <w:highlight w:val="none"/>
                <w:u w:val="single"/>
              </w:rPr>
              <w:t xml:space="preserve">  已   </w:t>
            </w:r>
            <w:bookmarkEnd w:id="42"/>
            <w:r>
              <w:rPr>
                <w:rFonts w:hint="eastAsia" w:ascii="宋体" w:hAnsi="宋体" w:eastAsia="宋体" w:cs="宋体"/>
                <w:sz w:val="24"/>
                <w:szCs w:val="24"/>
                <w:highlight w:val="none"/>
              </w:rPr>
              <w:t xml:space="preserve">通至施工现场。                               </w:t>
            </w:r>
          </w:p>
          <w:p w14:paraId="4E13C4A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施工现场</w:t>
            </w:r>
            <w:bookmarkStart w:id="43" w:name="blank_t11_6"/>
            <w:r>
              <w:rPr>
                <w:rFonts w:hint="eastAsia" w:ascii="宋体" w:hAnsi="宋体" w:eastAsia="宋体" w:cs="宋体"/>
                <w:sz w:val="24"/>
                <w:szCs w:val="24"/>
                <w:highlight w:val="none"/>
                <w:u w:val="single"/>
              </w:rPr>
              <w:t xml:space="preserve">  已   </w:t>
            </w:r>
            <w:bookmarkEnd w:id="43"/>
            <w:r>
              <w:rPr>
                <w:rFonts w:hint="eastAsia" w:ascii="宋体" w:hAnsi="宋体" w:eastAsia="宋体" w:cs="宋体"/>
                <w:sz w:val="24"/>
                <w:szCs w:val="24"/>
                <w:highlight w:val="none"/>
              </w:rPr>
              <w:t xml:space="preserve">平整。                          </w:t>
            </w:r>
          </w:p>
          <w:p w14:paraId="30C6F446">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u w:val="singl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其它说明：发包人提供水源和电源接入点。承包人负责施工用水、用电及施工场地内用水用电管线费用（含向供水、供电部门报装的费用），承包人根据施工需要自行解决，承包人在实施前应将方案报发包人批准，承包人须按发包人审批的方案安装（发包人可提供协助）；发包人不会就任何有关上述项目产生的费用另行签证增加本工程费用。 </w:t>
            </w:r>
          </w:p>
        </w:tc>
      </w:tr>
      <w:tr w14:paraId="672F21C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98"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5180049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sz w:val="24"/>
                <w:szCs w:val="24"/>
                <w:highlight w:val="none"/>
              </w:rPr>
              <w:t>11</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2A60A18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投标人资格</w:t>
            </w:r>
          </w:p>
        </w:tc>
        <w:tc>
          <w:tcPr>
            <w:tcW w:w="6798" w:type="dxa"/>
            <w:tcBorders>
              <w:top w:val="single" w:color="auto" w:sz="6" w:space="0"/>
              <w:left w:val="single" w:color="auto" w:sz="6" w:space="0"/>
              <w:bottom w:val="single" w:color="auto" w:sz="4" w:space="0"/>
              <w:right w:val="single" w:color="auto" w:sz="6" w:space="0"/>
            </w:tcBorders>
            <w:vAlign w:val="center"/>
          </w:tcPr>
          <w:p w14:paraId="092FFB26">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详见招标公告。</w:t>
            </w:r>
          </w:p>
        </w:tc>
      </w:tr>
      <w:tr w14:paraId="323CCF8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7D020E0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12</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3D35064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报名方式</w:t>
            </w:r>
          </w:p>
        </w:tc>
        <w:tc>
          <w:tcPr>
            <w:tcW w:w="6798" w:type="dxa"/>
            <w:tcBorders>
              <w:top w:val="single" w:color="auto" w:sz="6" w:space="0"/>
              <w:left w:val="single" w:color="auto" w:sz="6" w:space="0"/>
              <w:bottom w:val="single" w:color="auto" w:sz="4" w:space="0"/>
              <w:right w:val="single" w:color="auto" w:sz="6" w:space="0"/>
            </w:tcBorders>
            <w:vAlign w:val="center"/>
          </w:tcPr>
          <w:p w14:paraId="11576146">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网上报名。</w:t>
            </w:r>
          </w:p>
        </w:tc>
      </w:tr>
      <w:tr w14:paraId="7E963DC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9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4105E3F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13</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63238A2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选取方式</w:t>
            </w:r>
          </w:p>
        </w:tc>
        <w:tc>
          <w:tcPr>
            <w:tcW w:w="6798" w:type="dxa"/>
            <w:tcBorders>
              <w:top w:val="single" w:color="auto" w:sz="6" w:space="0"/>
              <w:left w:val="single" w:color="auto" w:sz="6" w:space="0"/>
              <w:bottom w:val="single" w:color="auto" w:sz="4" w:space="0"/>
              <w:right w:val="single" w:color="auto" w:sz="6" w:space="0"/>
            </w:tcBorders>
            <w:vAlign w:val="center"/>
          </w:tcPr>
          <w:p w14:paraId="375FA26B">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直接选取  </w:t>
            </w: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随机抽取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邀请选取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公开选取</w:t>
            </w:r>
          </w:p>
        </w:tc>
      </w:tr>
      <w:tr w14:paraId="609BA6F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629035A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14</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097627D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开标地址</w:t>
            </w:r>
          </w:p>
        </w:tc>
        <w:tc>
          <w:tcPr>
            <w:tcW w:w="6798" w:type="dxa"/>
            <w:tcBorders>
              <w:top w:val="single" w:color="auto" w:sz="6" w:space="0"/>
              <w:left w:val="single" w:color="auto" w:sz="6" w:space="0"/>
              <w:bottom w:val="single" w:color="auto" w:sz="4" w:space="0"/>
              <w:right w:val="single" w:color="auto" w:sz="6" w:space="0"/>
            </w:tcBorders>
            <w:vAlign w:val="center"/>
          </w:tcPr>
          <w:p w14:paraId="5152254A">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佛山市公共资源交易中心南海分中心指定开标室（佛山市南海区桂城街道夏南路58号方舟一号建筑产业中心大楼2层）。投标人须在投标截止前将加密的投标文件通过南海区工程建设项目承包商选取系统下成功上传。</w:t>
            </w:r>
          </w:p>
          <w:p w14:paraId="7E40523F">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本次招标采用远程解密方式组织开标，投标人无需到场参加开标会。解密开始时间以开标现场招标人(或招标代理)在南海区工程建设项目承包商选取系统本项目点击【开始解密】按钮的时间为准，投标人须在解密时间开始后60分钟内在南海区工程建设项目承包商选取系统对本工程的电子投标文件完成解密工作。</w:t>
            </w:r>
          </w:p>
          <w:p w14:paraId="79BF7FCF">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在本工程投标截止时间后密切关注南海区工程建设项目承包商选取系统本项目远程解密界面信息，并按规定的时间和要求进行电子投标文件远程解密操作，因投标人自身原因导致电子投标文件在规定时间内未能成功解密的，视为无效投标。</w:t>
            </w:r>
          </w:p>
          <w:p w14:paraId="30CB43AF">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（3）投标人采用远程解密方式解密电子投标文件的，视为默认开标结果。</w:t>
            </w:r>
          </w:p>
        </w:tc>
      </w:tr>
      <w:tr w14:paraId="126311F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4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610B7115">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15</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47FE721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选取议程安排</w:t>
            </w:r>
          </w:p>
        </w:tc>
        <w:tc>
          <w:tcPr>
            <w:tcW w:w="6798" w:type="dxa"/>
            <w:tcBorders>
              <w:top w:val="single" w:color="auto" w:sz="6" w:space="0"/>
              <w:left w:val="single" w:color="auto" w:sz="6" w:space="0"/>
              <w:bottom w:val="single" w:color="auto" w:sz="4" w:space="0"/>
              <w:right w:val="single" w:color="auto" w:sz="6" w:space="0"/>
            </w:tcBorders>
            <w:vAlign w:val="center"/>
          </w:tcPr>
          <w:p w14:paraId="216A5F9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1、报名投标人自行安排踏勘施工现场，相关费用以及责任、风险自担。</w:t>
            </w:r>
          </w:p>
          <w:p w14:paraId="28F5783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2、报名承包人对招标文件、工程状况的提出书面疑问时限:在</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14</w:t>
            </w:r>
            <w:r>
              <w:rPr>
                <w:rFonts w:hint="eastAsia" w:ascii="宋体" w:hAnsi="宋体" w:eastAsia="宋体" w:cs="宋体"/>
                <w:sz w:val="24"/>
                <w:szCs w:val="24"/>
                <w:highlight w:val="none"/>
                <w:u w:val="single"/>
              </w:rPr>
              <w:t>日17时前</w:t>
            </w:r>
            <w:r>
              <w:rPr>
                <w:rFonts w:hint="eastAsia" w:ascii="宋体" w:hAnsi="宋体" w:eastAsia="宋体" w:cs="宋体"/>
                <w:sz w:val="24"/>
                <w:szCs w:val="24"/>
                <w:highlight w:val="none"/>
              </w:rPr>
              <w:t>，过时招标人将不再受理，因此引起的损失由报名承包商自负。</w:t>
            </w:r>
          </w:p>
          <w:p w14:paraId="4DE60F6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3、招标人对选取文件的澄清或修改、补充、答疑公布时间：在本项目开标日期</w:t>
            </w:r>
            <w:r>
              <w:rPr>
                <w:rFonts w:hint="eastAsia" w:ascii="宋体" w:hAnsi="宋体" w:eastAsia="宋体" w:cs="宋体"/>
                <w:sz w:val="24"/>
                <w:szCs w:val="24"/>
                <w:highlight w:val="none"/>
                <w:u w:val="single"/>
              </w:rPr>
              <w:t xml:space="preserve"> 3 </w:t>
            </w:r>
            <w:r>
              <w:rPr>
                <w:rFonts w:hint="eastAsia" w:ascii="宋体" w:hAnsi="宋体" w:eastAsia="宋体" w:cs="宋体"/>
                <w:sz w:val="24"/>
                <w:szCs w:val="24"/>
                <w:highlight w:val="none"/>
              </w:rPr>
              <w:t>日前。澄清、修改、补充、答疑将在佛山市公共资源交易中心南海分中心网页上公布并成为选取文件的组成部分，请报名承包商自行查阅下载。</w:t>
            </w:r>
          </w:p>
          <w:p w14:paraId="4E153D0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4、发布招标公告时间：</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cs="宋体"/>
                <w:sz w:val="24"/>
                <w:szCs w:val="24"/>
                <w:highlight w:val="none"/>
                <w:u w:val="single"/>
                <w:lang w:val="en-US" w:eastAsia="zh-CN"/>
              </w:rPr>
              <w:t>12</w:t>
            </w:r>
            <w:r>
              <w:rPr>
                <w:rFonts w:hint="eastAsia" w:ascii="宋体" w:hAnsi="宋体" w:eastAsia="宋体" w:cs="宋体"/>
                <w:sz w:val="24"/>
                <w:szCs w:val="24"/>
                <w:highlight w:val="none"/>
              </w:rPr>
              <w:t>日。</w:t>
            </w:r>
          </w:p>
          <w:p w14:paraId="65DA80C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5、提交投标文件截止时间：</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6月20日</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分前。</w:t>
            </w:r>
          </w:p>
          <w:p w14:paraId="446CCBA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6、开标时间：</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6月20日</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w:t>
            </w:r>
            <w:r>
              <w:rPr>
                <w:rFonts w:hint="eastAsia" w:ascii="宋体" w:hAnsi="宋体" w:eastAsia="宋体" w:cs="宋体"/>
                <w:bCs/>
                <w:sz w:val="24"/>
                <w:szCs w:val="24"/>
                <w:highlight w:val="none"/>
              </w:rPr>
              <w:t>。</w:t>
            </w:r>
          </w:p>
          <w:p w14:paraId="14F1785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 xml:space="preserve">其他说明：           </w:t>
            </w:r>
          </w:p>
        </w:tc>
      </w:tr>
      <w:tr w14:paraId="3FE480F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35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29D28A0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16</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1462A8F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资料获取方式</w:t>
            </w:r>
          </w:p>
        </w:tc>
        <w:tc>
          <w:tcPr>
            <w:tcW w:w="6798" w:type="dxa"/>
            <w:tcBorders>
              <w:top w:val="single" w:color="auto" w:sz="6" w:space="0"/>
              <w:left w:val="single" w:color="auto" w:sz="6" w:space="0"/>
              <w:bottom w:val="single" w:color="auto" w:sz="4" w:space="0"/>
              <w:right w:val="single" w:color="auto" w:sz="6" w:space="0"/>
            </w:tcBorders>
            <w:vAlign w:val="center"/>
          </w:tcPr>
          <w:p w14:paraId="78666F9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凡有意参加投标者，可于投标截止时间前登录南海区工程建设项目承包商选取系统下载招标文件、图纸等资料。网址：https://nhcet.nanhai.gov.cn/#/，业务咨询电话：020-38258858。</w:t>
            </w:r>
          </w:p>
          <w:p w14:paraId="2A38A44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其它规定：</w:t>
            </w:r>
          </w:p>
        </w:tc>
      </w:tr>
      <w:tr w14:paraId="053D73E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2D17D4C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17</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45FA5FA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选取办法</w:t>
            </w:r>
          </w:p>
        </w:tc>
        <w:tc>
          <w:tcPr>
            <w:tcW w:w="6798" w:type="dxa"/>
            <w:tcBorders>
              <w:top w:val="single" w:color="auto" w:sz="6" w:space="0"/>
              <w:left w:val="single" w:color="auto" w:sz="6" w:space="0"/>
              <w:bottom w:val="single" w:color="auto" w:sz="4" w:space="0"/>
              <w:right w:val="single" w:color="auto" w:sz="6" w:space="0"/>
            </w:tcBorders>
            <w:vAlign w:val="center"/>
          </w:tcPr>
          <w:p w14:paraId="50F245E9">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直接选取：招标人从报名参与选取的合格企业中直接选取1名作为本项目的承包商。</w:t>
            </w:r>
          </w:p>
          <w:p w14:paraId="36AA24EB">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随机抽取：招标人从报名参与选取的合格企业中随机抽取1名作为本项目的承包商。</w:t>
            </w:r>
          </w:p>
          <w:p w14:paraId="22D5D6F7">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邀请选取：招标人从承包商库中选取3家或以上的合格企业发出邀请函，再通过比价的方式选取报价最低的1家企业作为本项目的承包商。</w:t>
            </w:r>
          </w:p>
          <w:p w14:paraId="2F21791D">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公开选取：招标人在发布招标公告后，通过公布的评标办法选择1家合格投标人作为本项目的中标人。</w:t>
            </w:r>
          </w:p>
        </w:tc>
      </w:tr>
      <w:tr w14:paraId="1230187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91"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1A8946C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18</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6F985AC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评标委员会的组建方式</w:t>
            </w:r>
          </w:p>
        </w:tc>
        <w:tc>
          <w:tcPr>
            <w:tcW w:w="6798" w:type="dxa"/>
            <w:tcBorders>
              <w:top w:val="single" w:color="auto" w:sz="6" w:space="0"/>
              <w:left w:val="single" w:color="auto" w:sz="6" w:space="0"/>
              <w:bottom w:val="single" w:color="auto" w:sz="4" w:space="0"/>
              <w:right w:val="single" w:color="auto" w:sz="6" w:space="0"/>
            </w:tcBorders>
            <w:vAlign w:val="center"/>
          </w:tcPr>
          <w:p w14:paraId="5A0E28E2">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招标人自行推荐。推荐人数：3人或以上单数。</w:t>
            </w:r>
          </w:p>
          <w:p w14:paraId="30197A99">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bookmarkStart w:id="44" w:name="EBd7640501ec7442b69923145e82382b71"/>
            <w:r>
              <w:rPr>
                <w:rFonts w:hint="eastAsia" w:ascii="宋体" w:hAnsi="宋体" w:eastAsia="宋体" w:cs="宋体"/>
                <w:sz w:val="24"/>
                <w:szCs w:val="24"/>
                <w:highlight w:val="none"/>
              </w:rPr>
              <w:t>广东省综合评标专家库</w:t>
            </w:r>
            <w:bookmarkEnd w:id="44"/>
            <w:r>
              <w:rPr>
                <w:rFonts w:hint="eastAsia" w:ascii="宋体" w:hAnsi="宋体" w:eastAsia="宋体" w:cs="宋体"/>
                <w:sz w:val="24"/>
                <w:szCs w:val="24"/>
                <w:highlight w:val="none"/>
              </w:rPr>
              <w:t>中随机抽取。抽取人数：5人。</w:t>
            </w:r>
          </w:p>
        </w:tc>
      </w:tr>
      <w:tr w14:paraId="043D5C3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16" w:hRule="atLeast"/>
          <w:jc w:val="center"/>
        </w:trPr>
        <w:tc>
          <w:tcPr>
            <w:tcW w:w="709" w:type="dxa"/>
            <w:tcBorders>
              <w:top w:val="single" w:color="auto" w:sz="4" w:space="0"/>
              <w:left w:val="single" w:color="auto" w:sz="6" w:space="0"/>
              <w:bottom w:val="single" w:color="auto" w:sz="4" w:space="0"/>
              <w:right w:val="single" w:color="auto" w:sz="6" w:space="0"/>
            </w:tcBorders>
            <w:vAlign w:val="center"/>
          </w:tcPr>
          <w:p w14:paraId="70A0358C">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19</w:t>
            </w:r>
          </w:p>
        </w:tc>
        <w:tc>
          <w:tcPr>
            <w:tcW w:w="1843" w:type="dxa"/>
            <w:gridSpan w:val="2"/>
            <w:tcBorders>
              <w:top w:val="single" w:color="auto" w:sz="4" w:space="0"/>
              <w:left w:val="single" w:color="auto" w:sz="6" w:space="0"/>
              <w:bottom w:val="single" w:color="auto" w:sz="4" w:space="0"/>
              <w:right w:val="single" w:color="auto" w:sz="6" w:space="0"/>
            </w:tcBorders>
            <w:vAlign w:val="center"/>
          </w:tcPr>
          <w:p w14:paraId="1EB075D5">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评审办法</w:t>
            </w:r>
          </w:p>
        </w:tc>
        <w:tc>
          <w:tcPr>
            <w:tcW w:w="6798" w:type="dxa"/>
            <w:tcBorders>
              <w:top w:val="single" w:color="auto" w:sz="4" w:space="0"/>
              <w:left w:val="single" w:color="auto" w:sz="6" w:space="0"/>
              <w:bottom w:val="single" w:color="auto" w:sz="4" w:space="0"/>
              <w:right w:val="single" w:color="auto" w:sz="6" w:space="0"/>
            </w:tcBorders>
            <w:vAlign w:val="center"/>
          </w:tcPr>
          <w:p w14:paraId="7282FA22">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rPr>
            </w:pPr>
            <w:bookmarkStart w:id="45" w:name="op1_t14_3"/>
            <w:r>
              <w:rPr>
                <w:rFonts w:hint="eastAsia" w:ascii="宋体" w:hAnsi="宋体" w:eastAsia="宋体" w:cs="宋体"/>
                <w:sz w:val="24"/>
                <w:szCs w:val="24"/>
                <w:highlight w:val="none"/>
              </w:rPr>
              <w:sym w:font="Wingdings 2" w:char="00A3"/>
            </w:r>
            <w:r>
              <w:rPr>
                <w:rFonts w:hint="eastAsia" w:ascii="宋体" w:hAnsi="宋体" w:eastAsia="宋体" w:cs="宋体"/>
                <w:kern w:val="0"/>
                <w:sz w:val="24"/>
                <w:szCs w:val="24"/>
                <w:highlight w:val="none"/>
              </w:rPr>
              <w:t>最低价评标法：评标委员会确定有效投标报价最低的投标人为中标候选人。</w:t>
            </w:r>
            <w:r>
              <w:rPr>
                <w:rFonts w:hint="eastAsia" w:ascii="宋体" w:hAnsi="宋体" w:eastAsia="宋体" w:cs="宋体"/>
                <w:bCs/>
                <w:kern w:val="0"/>
                <w:sz w:val="24"/>
                <w:szCs w:val="24"/>
                <w:highlight w:val="none"/>
              </w:rPr>
              <w:t xml:space="preserve"> </w:t>
            </w:r>
          </w:p>
          <w:p w14:paraId="3F7EB46B">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sym w:font="Wingdings 2" w:char="0052"/>
            </w:r>
            <w:r>
              <w:rPr>
                <w:rFonts w:hint="eastAsia" w:ascii="宋体" w:hAnsi="宋体" w:eastAsia="宋体" w:cs="宋体"/>
                <w:kern w:val="0"/>
                <w:sz w:val="24"/>
                <w:szCs w:val="24"/>
                <w:highlight w:val="none"/>
              </w:rPr>
              <w:t>综合评估法：评标委员会对满足招标文件实质要求的投标文件，根据本章规定的评分标准进行评分，并按总得分由高到低顺序推荐中标候选人，但投标报价低于其成本的除外。</w:t>
            </w:r>
            <w:r>
              <w:rPr>
                <w:rFonts w:hint="eastAsia" w:ascii="宋体" w:hAnsi="宋体" w:eastAsia="宋体" w:cs="宋体"/>
                <w:bCs/>
                <w:kern w:val="0"/>
                <w:sz w:val="24"/>
                <w:szCs w:val="24"/>
                <w:highlight w:val="none"/>
              </w:rPr>
              <w:t xml:space="preserve"> </w:t>
            </w:r>
            <w:bookmarkEnd w:id="45"/>
            <w:bookmarkStart w:id="46" w:name="op1_t14_4"/>
          </w:p>
          <w:p w14:paraId="53565D54">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 本项目只推荐1名中标候选人。</w:t>
            </w:r>
          </w:p>
          <w:bookmarkEnd w:id="46"/>
          <w:p w14:paraId="07221F11">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综合评分相等时，以投标报价低的优先；如果投标报价相同，则资信部分得分较高的投标人排序优先。按上述环节依然存在同分情形而不能确认排名顺序时，由评标委员会投票决定排名顺序。</w:t>
            </w:r>
          </w:p>
          <w:p w14:paraId="76F331E3">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sym w:font="Wingdings 2" w:char="F0A3"/>
            </w:r>
            <w:r>
              <w:rPr>
                <w:rFonts w:hint="eastAsia" w:ascii="宋体" w:hAnsi="宋体" w:eastAsia="宋体" w:cs="宋体"/>
                <w:kern w:val="0"/>
                <w:sz w:val="24"/>
                <w:szCs w:val="24"/>
                <w:highlight w:val="none"/>
              </w:rPr>
              <w:t>其他说明：</w:t>
            </w:r>
            <w:r>
              <w:rPr>
                <w:rFonts w:hint="eastAsia" w:ascii="宋体" w:hAnsi="宋体" w:eastAsia="宋体" w:cs="宋体"/>
                <w:sz w:val="24"/>
                <w:szCs w:val="24"/>
                <w:highlight w:val="none"/>
                <w:u w:val="single"/>
              </w:rPr>
              <w:t xml:space="preserve">              </w:t>
            </w:r>
          </w:p>
        </w:tc>
      </w:tr>
      <w:tr w14:paraId="487C348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95"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337ACBE7">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24A91D0F">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工期要求</w:t>
            </w:r>
          </w:p>
        </w:tc>
        <w:tc>
          <w:tcPr>
            <w:tcW w:w="6798" w:type="dxa"/>
            <w:tcBorders>
              <w:top w:val="single" w:color="auto" w:sz="4" w:space="0"/>
              <w:left w:val="single" w:color="auto" w:sz="6" w:space="0"/>
              <w:bottom w:val="single" w:color="auto" w:sz="6" w:space="0"/>
              <w:right w:val="single" w:color="auto" w:sz="6" w:space="0"/>
            </w:tcBorders>
            <w:vAlign w:val="center"/>
          </w:tcPr>
          <w:p w14:paraId="725C49F5">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0052"/>
            </w:r>
            <w:r>
              <w:rPr>
                <w:rFonts w:hint="eastAsia" w:ascii="宋体" w:hAnsi="宋体" w:eastAsia="宋体" w:cs="宋体"/>
                <w:sz w:val="24"/>
                <w:szCs w:val="24"/>
                <w:highlight w:val="none"/>
              </w:rPr>
              <w:t>计划工期：</w:t>
            </w:r>
            <w:r>
              <w:rPr>
                <w:rFonts w:hint="eastAsia" w:ascii="宋体" w:hAnsi="宋体" w:eastAsia="宋体" w:cs="宋体"/>
                <w:sz w:val="24"/>
                <w:szCs w:val="24"/>
                <w:highlight w:val="none"/>
                <w:u w:val="single"/>
                <w:lang w:val="en-US" w:eastAsia="zh-CN"/>
              </w:rPr>
              <w:t>365个日历天</w:t>
            </w:r>
            <w:r>
              <w:rPr>
                <w:rFonts w:hint="eastAsia" w:ascii="宋体" w:hAnsi="宋体" w:eastAsia="宋体" w:cs="宋体"/>
                <w:sz w:val="24"/>
                <w:szCs w:val="24"/>
                <w:highlight w:val="none"/>
              </w:rPr>
              <w:t>。</w:t>
            </w:r>
          </w:p>
          <w:p w14:paraId="63A9ABFB">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其他说明：具体开工时间以监理人签发开工令为准，工期不因假期、雨季、设计变更、修改等因素延长。</w:t>
            </w:r>
          </w:p>
        </w:tc>
      </w:tr>
      <w:tr w14:paraId="75E0D5F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2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05F270E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21</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C20F10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质量要求</w:t>
            </w:r>
          </w:p>
        </w:tc>
        <w:tc>
          <w:tcPr>
            <w:tcW w:w="6798" w:type="dxa"/>
            <w:tcBorders>
              <w:top w:val="single" w:color="auto" w:sz="6" w:space="0"/>
              <w:left w:val="single" w:color="auto" w:sz="6" w:space="0"/>
              <w:bottom w:val="single" w:color="auto" w:sz="6" w:space="0"/>
              <w:right w:val="single" w:color="auto" w:sz="6" w:space="0"/>
            </w:tcBorders>
            <w:vAlign w:val="center"/>
          </w:tcPr>
          <w:p w14:paraId="7D90DD0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质量目标：</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合格</w:t>
            </w:r>
            <w:bookmarkStart w:id="47" w:name="op1_t16_3"/>
          </w:p>
          <w:p w14:paraId="432E303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F0A3"/>
            </w:r>
            <w:bookmarkEnd w:id="47"/>
            <w:r>
              <w:rPr>
                <w:rFonts w:hint="eastAsia" w:ascii="宋体" w:hAnsi="宋体" w:eastAsia="宋体" w:cs="宋体"/>
                <w:sz w:val="24"/>
                <w:szCs w:val="24"/>
                <w:highlight w:val="none"/>
              </w:rPr>
              <w:t>2、</w:t>
            </w:r>
            <w:bookmarkStart w:id="48" w:name="blank_t16_1"/>
            <w:r>
              <w:rPr>
                <w:rFonts w:hint="eastAsia" w:ascii="宋体" w:hAnsi="宋体" w:eastAsia="宋体" w:cs="宋体"/>
                <w:sz w:val="24"/>
                <w:szCs w:val="24"/>
                <w:highlight w:val="none"/>
                <w:u w:val="single"/>
              </w:rPr>
              <w:t xml:space="preserve">      </w:t>
            </w:r>
            <w:bookmarkEnd w:id="48"/>
            <w:r>
              <w:rPr>
                <w:rFonts w:hint="eastAsia" w:ascii="宋体" w:hAnsi="宋体" w:eastAsia="宋体" w:cs="宋体"/>
                <w:sz w:val="24"/>
                <w:szCs w:val="24"/>
                <w:highlight w:val="none"/>
              </w:rPr>
              <w:t>（省、市建设工程优质奖或其他奖项标准）</w:t>
            </w:r>
          </w:p>
          <w:p w14:paraId="7F859F7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执行标准：执行国家、省或行业现行的工程建设质量验收标准及规范。</w:t>
            </w:r>
          </w:p>
          <w:p w14:paraId="5018CA6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其他说明：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tc>
      </w:tr>
      <w:tr w14:paraId="44EBA66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4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008DD9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9558BE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安全文明</w:t>
            </w:r>
          </w:p>
          <w:p w14:paraId="068FBB9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施工要求</w:t>
            </w:r>
          </w:p>
        </w:tc>
        <w:tc>
          <w:tcPr>
            <w:tcW w:w="6798" w:type="dxa"/>
            <w:tcBorders>
              <w:top w:val="single" w:color="auto" w:sz="6" w:space="0"/>
              <w:left w:val="single" w:color="auto" w:sz="6" w:space="0"/>
              <w:bottom w:val="single" w:color="auto" w:sz="6" w:space="0"/>
              <w:right w:val="single" w:color="auto" w:sz="6" w:space="0"/>
            </w:tcBorders>
            <w:vAlign w:val="center"/>
          </w:tcPr>
          <w:p w14:paraId="3B08936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安全目标：</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1、合格</w:t>
            </w:r>
            <w:bookmarkStart w:id="49" w:name="op1_t17_3"/>
          </w:p>
          <w:p w14:paraId="7CF17D0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49"/>
            <w:r>
              <w:rPr>
                <w:rFonts w:hint="eastAsia" w:ascii="宋体" w:hAnsi="宋体" w:eastAsia="宋体" w:cs="宋体"/>
                <w:sz w:val="24"/>
                <w:szCs w:val="24"/>
                <w:highlight w:val="none"/>
              </w:rPr>
              <w:t>2、</w:t>
            </w:r>
            <w:bookmarkStart w:id="50" w:name="blank_t17_1"/>
            <w:r>
              <w:rPr>
                <w:rFonts w:hint="eastAsia" w:ascii="宋体" w:hAnsi="宋体" w:eastAsia="宋体" w:cs="宋体"/>
                <w:sz w:val="24"/>
                <w:szCs w:val="24"/>
                <w:highlight w:val="none"/>
                <w:u w:val="single"/>
              </w:rPr>
              <w:t xml:space="preserve">         </w:t>
            </w:r>
            <w:bookmarkEnd w:id="50"/>
            <w:r>
              <w:rPr>
                <w:rFonts w:hint="eastAsia" w:ascii="宋体" w:hAnsi="宋体" w:eastAsia="宋体" w:cs="宋体"/>
                <w:sz w:val="24"/>
                <w:szCs w:val="24"/>
                <w:highlight w:val="none"/>
              </w:rPr>
              <w:t>（省、市房屋市政工程安全生产文明施工示范工地或其他标准）</w:t>
            </w:r>
          </w:p>
          <w:p w14:paraId="5AD08859">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执行标准：符合国家、省、市安全生产、文明施工管理相关规定。         </w:t>
            </w:r>
          </w:p>
          <w:p w14:paraId="7084556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其他说明：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tc>
      </w:tr>
      <w:tr w14:paraId="1466C15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49"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054A5CF9">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23</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0716DDB">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承包方式</w:t>
            </w:r>
          </w:p>
        </w:tc>
        <w:tc>
          <w:tcPr>
            <w:tcW w:w="6798" w:type="dxa"/>
            <w:tcBorders>
              <w:top w:val="single" w:color="auto" w:sz="6" w:space="0"/>
              <w:left w:val="single" w:color="auto" w:sz="6" w:space="0"/>
              <w:bottom w:val="single" w:color="auto" w:sz="6" w:space="0"/>
              <w:right w:val="single" w:color="auto" w:sz="6" w:space="0"/>
            </w:tcBorders>
            <w:vAlign w:val="center"/>
          </w:tcPr>
          <w:p w14:paraId="13F9CB6B">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包工、包料、包工期、包安全、包文明施工。</w:t>
            </w:r>
          </w:p>
          <w:p w14:paraId="7301DB9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固定费率。</w:t>
            </w:r>
          </w:p>
          <w:p w14:paraId="1AEC4E0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综合单价包干：投标报价文件包含投标总价及综合单价时，综合单价为合同单价。合同单价在招标文件及施工合同约定的风险范围之内不可调整。</w:t>
            </w:r>
          </w:p>
          <w:p w14:paraId="7D644A2B">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固定总价：投标报价文件包含投标总价及综合单价时，投标总价为合同总价。合同总价在招标文件及施工合同约定的风险范围之内不可调整。</w:t>
            </w:r>
          </w:p>
          <w:p w14:paraId="2E505006">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其他说明：                    </w:t>
            </w:r>
          </w:p>
          <w:p w14:paraId="6BC27C4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采用直接选取或随机抽取的项目适用于固定费率或固定总价。                                                </w:t>
            </w:r>
          </w:p>
        </w:tc>
      </w:tr>
      <w:tr w14:paraId="1ABB947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22"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79EEB49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sz w:val="24"/>
                <w:szCs w:val="24"/>
                <w:highlight w:val="none"/>
              </w:rPr>
              <w:t>24</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313FFDA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项目负责人</w:t>
            </w:r>
          </w:p>
          <w:p w14:paraId="63842BA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要求</w:t>
            </w:r>
          </w:p>
        </w:tc>
        <w:tc>
          <w:tcPr>
            <w:tcW w:w="6798" w:type="dxa"/>
            <w:tcBorders>
              <w:top w:val="single" w:color="auto" w:sz="6" w:space="0"/>
              <w:left w:val="single" w:color="auto" w:sz="6" w:space="0"/>
              <w:bottom w:val="single" w:color="auto" w:sz="4" w:space="0"/>
              <w:right w:val="single" w:color="auto" w:sz="6" w:space="0"/>
            </w:tcBorders>
            <w:vAlign w:val="center"/>
          </w:tcPr>
          <w:p w14:paraId="523612B2">
            <w:pPr>
              <w:pStyle w:val="22"/>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中标人不得擅自变更项目负责人，若需变更应征得招标人同意，并按行业主管部门要求办理相关手续。</w:t>
            </w:r>
          </w:p>
          <w:p w14:paraId="3832FAD8">
            <w:pPr>
              <w:pStyle w:val="22"/>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u w:val="single"/>
              </w:rPr>
              <w:t xml:space="preserve">              </w:t>
            </w:r>
          </w:p>
        </w:tc>
      </w:tr>
      <w:tr w14:paraId="63E9D4D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462DCF1C">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25</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3F8E157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总包及分包</w:t>
            </w:r>
          </w:p>
          <w:p w14:paraId="272C058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规定</w:t>
            </w:r>
          </w:p>
        </w:tc>
        <w:tc>
          <w:tcPr>
            <w:tcW w:w="6798" w:type="dxa"/>
            <w:tcBorders>
              <w:top w:val="single" w:color="auto" w:sz="4" w:space="0"/>
              <w:left w:val="single" w:color="auto" w:sz="6" w:space="0"/>
              <w:bottom w:val="single" w:color="auto" w:sz="6" w:space="0"/>
              <w:right w:val="single" w:color="auto" w:sz="6" w:space="0"/>
            </w:tcBorders>
            <w:vAlign w:val="center"/>
          </w:tcPr>
          <w:p w14:paraId="29AA8E50">
            <w:pPr>
              <w:pStyle w:val="22"/>
              <w:pageBreakBefore w:val="0"/>
              <w:kinsoku/>
              <w:wordWrap/>
              <w:overflowPunct/>
              <w:topLinePunct w:val="0"/>
              <w:autoSpaceDE/>
              <w:autoSpaceDN/>
              <w:bidi w:val="0"/>
              <w:adjustRightInd/>
              <w:snapToGrid/>
              <w:spacing w:line="440" w:lineRule="exact"/>
              <w:ind w:left="240" w:hanging="240" w:hangingChars="100"/>
              <w:jc w:val="left"/>
              <w:textAlignment w:val="auto"/>
              <w:rPr>
                <w:rFonts w:hint="eastAsia" w:ascii="宋体" w:hAnsi="宋体" w:eastAsia="宋体" w:cs="宋体"/>
                <w:color w:val="auto"/>
                <w:sz w:val="24"/>
                <w:szCs w:val="24"/>
                <w:highlight w:val="none"/>
              </w:rPr>
            </w:pPr>
            <w:bookmarkStart w:id="51" w:name="op1_t19_2"/>
            <w:r>
              <w:rPr>
                <w:rFonts w:hint="eastAsia" w:ascii="宋体" w:hAnsi="宋体" w:eastAsia="宋体" w:cs="宋体"/>
                <w:color w:val="auto"/>
                <w:sz w:val="24"/>
                <w:szCs w:val="24"/>
                <w:highlight w:val="none"/>
              </w:rPr>
              <w:sym w:font="Wingdings 2" w:char="F0A3"/>
            </w:r>
            <w:bookmarkEnd w:id="51"/>
            <w:r>
              <w:rPr>
                <w:rFonts w:hint="eastAsia" w:ascii="宋体" w:hAnsi="宋体" w:eastAsia="宋体" w:cs="宋体"/>
                <w:color w:val="auto"/>
                <w:sz w:val="24"/>
                <w:szCs w:val="24"/>
                <w:highlight w:val="none"/>
              </w:rPr>
              <w:t xml:space="preserve">中标人不得擅自将项目子项工程分包给第三方，若需分包应征得招标人同意。 </w:t>
            </w:r>
          </w:p>
          <w:p w14:paraId="21C906C6">
            <w:pPr>
              <w:pStyle w:val="22"/>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u w:val="single"/>
              </w:rPr>
              <w:t xml:space="preserve"> 本工程不允许分包。  </w:t>
            </w:r>
          </w:p>
        </w:tc>
      </w:tr>
      <w:tr w14:paraId="5AC5C66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01"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013F722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26</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40A2A44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主要材料</w:t>
            </w:r>
          </w:p>
          <w:p w14:paraId="60BF7E5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使用要求</w:t>
            </w:r>
          </w:p>
        </w:tc>
        <w:tc>
          <w:tcPr>
            <w:tcW w:w="6798" w:type="dxa"/>
            <w:tcBorders>
              <w:top w:val="single" w:color="auto" w:sz="6" w:space="0"/>
              <w:left w:val="single" w:color="auto" w:sz="6" w:space="0"/>
              <w:bottom w:val="single" w:color="auto" w:sz="4" w:space="0"/>
              <w:right w:val="single" w:color="auto" w:sz="6" w:space="0"/>
            </w:tcBorders>
            <w:vAlign w:val="center"/>
          </w:tcPr>
          <w:p w14:paraId="5C05F20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中选承包商必须使用具有建材质检部门出具产品合格证的工程材料，并符合规定和要求。</w:t>
            </w:r>
          </w:p>
          <w:p w14:paraId="1C72B04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bookmarkStart w:id="52" w:name="op1_t20_2"/>
            <w:r>
              <w:rPr>
                <w:rFonts w:hint="eastAsia" w:ascii="宋体" w:hAnsi="宋体" w:eastAsia="宋体" w:cs="宋体"/>
                <w:sz w:val="24"/>
                <w:szCs w:val="24"/>
                <w:highlight w:val="none"/>
              </w:rPr>
              <w:sym w:font="Wingdings 2" w:char="F0A3"/>
            </w:r>
            <w:bookmarkEnd w:id="52"/>
            <w:r>
              <w:rPr>
                <w:rFonts w:hint="eastAsia" w:ascii="宋体" w:hAnsi="宋体" w:eastAsia="宋体" w:cs="宋体"/>
                <w:sz w:val="24"/>
                <w:szCs w:val="24"/>
                <w:highlight w:val="none"/>
              </w:rPr>
              <w:t xml:space="preserve">其它说明: </w:t>
            </w:r>
            <w:bookmarkStart w:id="53" w:name="blank_t20_1"/>
            <w:r>
              <w:rPr>
                <w:rFonts w:hint="eastAsia" w:ascii="宋体" w:hAnsi="宋体" w:eastAsia="宋体" w:cs="宋体"/>
                <w:sz w:val="24"/>
                <w:szCs w:val="24"/>
                <w:highlight w:val="none"/>
              </w:rPr>
              <w:t>____________</w:t>
            </w:r>
            <w:bookmarkEnd w:id="53"/>
          </w:p>
        </w:tc>
      </w:tr>
      <w:tr w14:paraId="4ECB6F4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99"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79E2E92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27</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033C6498">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工程款</w:t>
            </w:r>
          </w:p>
          <w:p w14:paraId="5881D32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支付方式</w:t>
            </w:r>
          </w:p>
        </w:tc>
        <w:tc>
          <w:tcPr>
            <w:tcW w:w="6798" w:type="dxa"/>
            <w:tcBorders>
              <w:top w:val="single" w:color="auto" w:sz="4" w:space="0"/>
              <w:left w:val="single" w:color="auto" w:sz="6" w:space="0"/>
              <w:bottom w:val="single" w:color="auto" w:sz="6" w:space="0"/>
              <w:right w:val="single" w:color="auto" w:sz="6" w:space="0"/>
            </w:tcBorders>
            <w:vAlign w:val="center"/>
          </w:tcPr>
          <w:p w14:paraId="49C3039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预付款：如承包人在发出中标确认书后10个日历天与发包人签订施工合同，且在施工合同签订后10日内进场施工的，</w:t>
            </w:r>
            <w:r>
              <w:rPr>
                <w:rFonts w:hint="eastAsia" w:cs="宋体"/>
                <w:sz w:val="24"/>
                <w:szCs w:val="24"/>
                <w:highlight w:val="none"/>
                <w:lang w:eastAsia="zh-CN"/>
              </w:rPr>
              <w:t>支付合同价的20%</w:t>
            </w:r>
            <w:r>
              <w:rPr>
                <w:rFonts w:hint="eastAsia" w:ascii="宋体" w:hAnsi="宋体" w:eastAsia="宋体" w:cs="宋体"/>
                <w:sz w:val="24"/>
                <w:szCs w:val="24"/>
                <w:highlight w:val="none"/>
              </w:rPr>
              <w:t>。</w:t>
            </w:r>
          </w:p>
          <w:p w14:paraId="356A029B">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进度款：</w:t>
            </w:r>
            <w:r>
              <w:rPr>
                <w:rFonts w:hint="eastAsia" w:cs="宋体"/>
                <w:sz w:val="24"/>
                <w:szCs w:val="24"/>
                <w:highlight w:val="none"/>
                <w:lang w:eastAsia="zh-CN"/>
              </w:rPr>
              <w:t>工程完成合同工程量50%时，付至合同价的50%</w:t>
            </w:r>
            <w:r>
              <w:rPr>
                <w:rFonts w:hint="eastAsia" w:ascii="宋体" w:hAnsi="宋体" w:eastAsia="宋体" w:cs="宋体"/>
                <w:sz w:val="24"/>
                <w:szCs w:val="24"/>
                <w:highlight w:val="none"/>
              </w:rPr>
              <w:t>；</w:t>
            </w:r>
          </w:p>
          <w:p w14:paraId="00C7790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结算款：</w:t>
            </w:r>
            <w:r>
              <w:rPr>
                <w:rFonts w:hint="eastAsia" w:cs="宋体"/>
                <w:sz w:val="24"/>
                <w:szCs w:val="24"/>
                <w:highlight w:val="none"/>
                <w:lang w:eastAsia="zh-CN"/>
              </w:rPr>
              <w:t>工程竣工验收合格并出具结算报告后付至工程结算价的97%</w:t>
            </w:r>
            <w:r>
              <w:rPr>
                <w:rFonts w:hint="eastAsia" w:ascii="宋体" w:hAnsi="宋体" w:eastAsia="宋体" w:cs="宋体"/>
                <w:sz w:val="24"/>
                <w:szCs w:val="24"/>
                <w:highlight w:val="none"/>
              </w:rPr>
              <w:t>。</w:t>
            </w:r>
          </w:p>
          <w:p w14:paraId="460B273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保修金：</w:t>
            </w:r>
            <w:r>
              <w:rPr>
                <w:rFonts w:hint="eastAsia" w:cs="宋体"/>
                <w:sz w:val="24"/>
                <w:szCs w:val="24"/>
                <w:highlight w:val="none"/>
                <w:lang w:eastAsia="zh-CN"/>
              </w:rPr>
              <w:t>余下3%作为质保金待质保期满后付清</w:t>
            </w:r>
            <w:r>
              <w:rPr>
                <w:rFonts w:hint="eastAsia" w:ascii="宋体" w:hAnsi="宋体" w:eastAsia="宋体" w:cs="宋体"/>
                <w:sz w:val="24"/>
                <w:szCs w:val="24"/>
                <w:highlight w:val="none"/>
              </w:rPr>
              <w:t>。因质量问题而引发的费用，由发包人直接在剩下的3%结算总价金额中扣减，并向承包人出具扣减剩余额的单据，不足部分由承包人继续赔偿。</w:t>
            </w:r>
          </w:p>
          <w:p w14:paraId="1A0BE97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其它说明: </w:t>
            </w:r>
          </w:p>
          <w:p w14:paraId="0514C6F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1.工程款应专款专用，一旦发包人发现工程款被挪作他用，发包人有权采取适当的措施来保证其专款专用。</w:t>
            </w:r>
          </w:p>
          <w:p w14:paraId="306447F9">
            <w:pPr>
              <w:pStyle w:val="254"/>
              <w:pageBreakBefore w:val="0"/>
              <w:kinsoku/>
              <w:wordWrap/>
              <w:overflowPunct/>
              <w:topLinePunct w:val="0"/>
              <w:autoSpaceDE/>
              <w:autoSpaceDN/>
              <w:bidi w:val="0"/>
              <w:adjustRightInd/>
              <w:snapToGrid/>
              <w:spacing w:line="440" w:lineRule="exact"/>
              <w:ind w:firstLine="0"/>
              <w:jc w:val="left"/>
              <w:textAlignment w:val="auto"/>
              <w:rPr>
                <w:rStyle w:val="64"/>
                <w:rFonts w:hint="eastAsia" w:ascii="宋体" w:hAnsi="宋体" w:eastAsia="宋体" w:cs="宋体"/>
                <w:b w:val="0"/>
                <w:sz w:val="24"/>
                <w:szCs w:val="24"/>
                <w:highlight w:val="none"/>
                <w:lang w:eastAsia="zh-CN"/>
              </w:rPr>
            </w:pPr>
            <w:r>
              <w:rPr>
                <w:rFonts w:hint="eastAsia" w:ascii="宋体" w:hAnsi="宋体" w:eastAsia="宋体" w:cs="宋体"/>
                <w:sz w:val="24"/>
                <w:szCs w:val="24"/>
                <w:highlight w:val="none"/>
              </w:rPr>
              <w:t>2.承包人如为非佛山市内企业的，承包人应严格按税收政策规定，向工程所在地税务机关申报预缴增值税等各项税款，在收取工程款时，承包人需向发包人提供工程所在地税款缴纳凭证及发票，有效发票必须遵循属地管理的原则，否则发包人有权拒绝支付工程款。</w:t>
            </w:r>
          </w:p>
        </w:tc>
      </w:tr>
      <w:tr w14:paraId="03DAAD5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41"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397B668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28</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3D8C920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预算编制依据</w:t>
            </w:r>
          </w:p>
        </w:tc>
        <w:tc>
          <w:tcPr>
            <w:tcW w:w="6798" w:type="dxa"/>
            <w:tcBorders>
              <w:top w:val="single" w:color="auto" w:sz="4" w:space="0"/>
              <w:left w:val="single" w:color="auto" w:sz="6" w:space="0"/>
              <w:bottom w:val="single" w:color="auto" w:sz="6" w:space="0"/>
              <w:right w:val="single" w:color="auto" w:sz="6" w:space="0"/>
            </w:tcBorders>
            <w:vAlign w:val="center"/>
          </w:tcPr>
          <w:p w14:paraId="299BA102">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预算编制依据说明：</w:t>
            </w:r>
            <w:bookmarkStart w:id="54" w:name="blank_t22_1"/>
            <w:r>
              <w:rPr>
                <w:rStyle w:val="64"/>
                <w:rFonts w:hint="eastAsia" w:ascii="宋体" w:hAnsi="宋体" w:eastAsia="宋体" w:cs="宋体"/>
                <w:b w:val="0"/>
                <w:sz w:val="24"/>
                <w:szCs w:val="24"/>
                <w:highlight w:val="none"/>
              </w:rPr>
              <w:t>《建设工程工程量清单计价规范》（GB50500—2013）和2018年《广东省建设工程计价依据》及配套的专业定额。</w:t>
            </w:r>
            <w:bookmarkEnd w:id="54"/>
          </w:p>
          <w:p w14:paraId="7E900026">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A3"/>
            </w:r>
            <w:r>
              <w:rPr>
                <w:rStyle w:val="64"/>
                <w:rFonts w:hint="eastAsia" w:ascii="宋体" w:hAnsi="宋体" w:eastAsia="宋体" w:cs="宋体"/>
                <w:b w:val="0"/>
                <w:sz w:val="24"/>
                <w:szCs w:val="24"/>
                <w:highlight w:val="none"/>
              </w:rPr>
              <w:t>公路、水利工程项目的编制依据说明：</w:t>
            </w:r>
            <w:r>
              <w:rPr>
                <w:rStyle w:val="64"/>
                <w:rFonts w:hint="eastAsia" w:ascii="宋体" w:hAnsi="宋体" w:eastAsia="宋体" w:cs="宋体"/>
                <w:b w:val="0"/>
                <w:sz w:val="24"/>
                <w:szCs w:val="24"/>
                <w:highlight w:val="none"/>
                <w:u w:val="single"/>
              </w:rPr>
              <w:t xml:space="preserve">          </w:t>
            </w:r>
          </w:p>
          <w:p w14:paraId="76E9418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sz w:val="24"/>
                <w:szCs w:val="24"/>
                <w:highlight w:val="none"/>
              </w:rPr>
            </w:pPr>
            <w:bookmarkStart w:id="55" w:name="op1_t22_2"/>
            <w:r>
              <w:rPr>
                <w:rStyle w:val="64"/>
                <w:rFonts w:hint="eastAsia" w:ascii="宋体" w:hAnsi="宋体" w:eastAsia="宋体" w:cs="宋体"/>
                <w:b w:val="0"/>
                <w:sz w:val="24"/>
                <w:szCs w:val="24"/>
                <w:highlight w:val="none"/>
              </w:rPr>
              <w:sym w:font="Wingdings 2" w:char="F0A3"/>
            </w:r>
            <w:bookmarkEnd w:id="55"/>
            <w:r>
              <w:rPr>
                <w:rStyle w:val="64"/>
                <w:rFonts w:hint="eastAsia" w:ascii="宋体" w:hAnsi="宋体" w:eastAsia="宋体" w:cs="宋体"/>
                <w:b w:val="0"/>
                <w:sz w:val="24"/>
                <w:szCs w:val="24"/>
                <w:highlight w:val="none"/>
              </w:rPr>
              <w:t>其它说明：</w:t>
            </w:r>
            <w:bookmarkStart w:id="56" w:name="blank_t22_2"/>
            <w:r>
              <w:rPr>
                <w:rFonts w:hint="eastAsia" w:ascii="宋体" w:hAnsi="宋体" w:eastAsia="宋体" w:cs="宋体"/>
                <w:sz w:val="24"/>
                <w:szCs w:val="24"/>
                <w:highlight w:val="none"/>
              </w:rPr>
              <w:t>_________</w:t>
            </w:r>
            <w:bookmarkEnd w:id="56"/>
          </w:p>
        </w:tc>
      </w:tr>
      <w:tr w14:paraId="509D782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82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33F9FE7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29</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DDC406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报价方式及投标最高限价</w:t>
            </w:r>
          </w:p>
        </w:tc>
        <w:tc>
          <w:tcPr>
            <w:tcW w:w="6798" w:type="dxa"/>
            <w:tcBorders>
              <w:top w:val="single" w:color="auto" w:sz="6" w:space="0"/>
              <w:left w:val="single" w:color="auto" w:sz="6" w:space="0"/>
              <w:bottom w:val="single" w:color="auto" w:sz="6" w:space="0"/>
              <w:right w:val="single" w:color="auto" w:sz="6" w:space="0"/>
            </w:tcBorders>
            <w:vAlign w:val="center"/>
          </w:tcPr>
          <w:p w14:paraId="7BEDB6A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57" w:name="op1_t23_3"/>
            <w:r>
              <w:rPr>
                <w:rStyle w:val="64"/>
                <w:rFonts w:hint="eastAsia" w:ascii="宋体" w:hAnsi="宋体" w:eastAsia="宋体" w:cs="宋体"/>
                <w:b w:val="0"/>
                <w:sz w:val="24"/>
                <w:szCs w:val="24"/>
                <w:highlight w:val="none"/>
              </w:rPr>
              <w:sym w:font="Wingdings 2" w:char="F0A3"/>
            </w:r>
            <w:r>
              <w:rPr>
                <w:rStyle w:val="64"/>
                <w:rFonts w:hint="eastAsia" w:ascii="宋体" w:hAnsi="宋体" w:eastAsia="宋体" w:cs="宋体"/>
                <w:b w:val="0"/>
                <w:sz w:val="24"/>
                <w:szCs w:val="24"/>
                <w:highlight w:val="none"/>
              </w:rPr>
              <w:t>固定总价：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元。（适用于采用直接选取或随机抽取方式的项目）</w:t>
            </w:r>
          </w:p>
          <w:p w14:paraId="3569F5DA">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sz w:val="24"/>
                <w:szCs w:val="24"/>
                <w:highlight w:val="none"/>
              </w:rPr>
              <w:sym w:font="Wingdings 2" w:char="F0A3"/>
            </w:r>
            <w:r>
              <w:rPr>
                <w:rStyle w:val="64"/>
                <w:rFonts w:hint="eastAsia" w:ascii="宋体" w:hAnsi="宋体" w:eastAsia="宋体" w:cs="宋体"/>
                <w:b w:val="0"/>
                <w:sz w:val="24"/>
                <w:szCs w:val="24"/>
                <w:highlight w:val="none"/>
              </w:rPr>
              <w:t>固定费率：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%。（适用于采用直接选取或随机抽取方式的项目）</w:t>
            </w:r>
          </w:p>
          <w:p w14:paraId="68468F6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投标最高限价</w:t>
            </w:r>
            <w:r>
              <w:rPr>
                <w:rFonts w:hint="eastAsia" w:ascii="宋体" w:hAnsi="宋体" w:eastAsia="宋体" w:cs="宋体"/>
                <w:sz w:val="24"/>
                <w:szCs w:val="24"/>
                <w:highlight w:val="none"/>
              </w:rPr>
              <w:t>：</w:t>
            </w:r>
            <w:r>
              <w:rPr>
                <w:rFonts w:hint="eastAsia" w:cs="宋体"/>
                <w:sz w:val="24"/>
                <w:szCs w:val="24"/>
                <w:highlight w:val="none"/>
                <w:u w:val="single"/>
                <w:lang w:val="en-US" w:eastAsia="zh-CN"/>
              </w:rPr>
              <w:t>1221764.12</w:t>
            </w:r>
            <w:r>
              <w:rPr>
                <w:rFonts w:hint="eastAsia" w:ascii="宋体" w:hAnsi="宋体" w:eastAsia="宋体" w:cs="宋体"/>
                <w:sz w:val="24"/>
                <w:szCs w:val="24"/>
                <w:highlight w:val="none"/>
              </w:rPr>
              <w:t>元。投标人的报价不得低于其成本价或高于投标最高限价，否则投标无效。</w:t>
            </w:r>
            <w:bookmarkEnd w:id="57"/>
          </w:p>
          <w:p w14:paraId="3B22F0A8">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F0A3"/>
            </w:r>
            <w:r>
              <w:rPr>
                <w:rStyle w:val="64"/>
                <w:rFonts w:hint="eastAsia" w:ascii="宋体" w:hAnsi="宋体" w:eastAsia="宋体" w:cs="宋体"/>
                <w:b w:val="0"/>
                <w:sz w:val="24"/>
                <w:szCs w:val="24"/>
                <w:highlight w:val="none"/>
              </w:rPr>
              <w:t>投标费率最高限价：</w:t>
            </w:r>
          </w:p>
          <w:p w14:paraId="55CE654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投标费率</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。投标人的报价费率不得低于其成本价或高于投标费率最高限价，否则投标无效。（适用于采用邀请选取或公开选取方式的项目）</w:t>
            </w:r>
          </w:p>
          <w:p w14:paraId="08AFAA99">
            <w:pPr>
              <w:pStyle w:val="254"/>
              <w:pageBreakBefore w:val="0"/>
              <w:kinsoku/>
              <w:wordWrap/>
              <w:overflowPunct/>
              <w:topLinePunct w:val="0"/>
              <w:autoSpaceDE/>
              <w:autoSpaceDN/>
              <w:bidi w:val="0"/>
              <w:adjustRightInd/>
              <w:snapToGrid/>
              <w:spacing w:line="440" w:lineRule="exact"/>
              <w:jc w:val="left"/>
              <w:textAlignment w:val="auto"/>
              <w:rPr>
                <w:rFonts w:hint="eastAsia" w:cs="宋体"/>
                <w:highlight w:val="none"/>
                <w:u w:val="singl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其它说明：</w:t>
            </w:r>
            <w:bookmarkStart w:id="58" w:name="blank_t23_3"/>
            <w:r>
              <w:rPr>
                <w:rFonts w:hint="eastAsia" w:cs="宋体"/>
                <w:highlight w:val="none"/>
                <w:u w:val="none"/>
              </w:rPr>
              <w:t>风险控制价为：</w:t>
            </w:r>
            <w:r>
              <w:rPr>
                <w:rFonts w:hint="eastAsia" w:cs="宋体"/>
                <w:highlight w:val="none"/>
                <w:u w:val="single"/>
                <w:lang w:eastAsia="zh-CN"/>
              </w:rPr>
              <w:t>1099587.71</w:t>
            </w:r>
            <w:r>
              <w:rPr>
                <w:rFonts w:hint="eastAsia" w:cs="宋体"/>
                <w:highlight w:val="none"/>
                <w:u w:val="single"/>
              </w:rPr>
              <w:t>（元）</w:t>
            </w:r>
          </w:p>
          <w:p w14:paraId="40E93B24">
            <w:pPr>
              <w:pStyle w:val="254"/>
              <w:pageBreakBefore w:val="0"/>
              <w:kinsoku/>
              <w:wordWrap/>
              <w:overflowPunct/>
              <w:topLinePunct w:val="0"/>
              <w:autoSpaceDE/>
              <w:autoSpaceDN/>
              <w:bidi w:val="0"/>
              <w:adjustRightInd/>
              <w:snapToGrid/>
              <w:spacing w:line="440" w:lineRule="exact"/>
              <w:jc w:val="left"/>
              <w:textAlignment w:val="auto"/>
              <w:rPr>
                <w:rFonts w:hint="eastAsia" w:cs="宋体"/>
                <w:highlight w:val="none"/>
              </w:rPr>
            </w:pPr>
            <w:r>
              <w:rPr>
                <w:rFonts w:hint="eastAsia" w:cs="宋体"/>
                <w:highlight w:val="none"/>
              </w:rPr>
              <w:t>注：1.风险控制价在招标控制价的基础上下调10%，当中标价低于风险控制价时，中标人应当在合同签订前提供现金转账、保函等形式的低价风险担保；中标人未按要求提交低价风险担保的，视为放弃中标。低价风险担保金额＝风险控制价-中标价。</w:t>
            </w:r>
          </w:p>
          <w:p w14:paraId="540C962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cs="宋体"/>
                <w:highlight w:val="none"/>
              </w:rPr>
              <w:t>2.低价风险担保在项目验收后30日内进行退还。若使用现金转账方式提交低价风险担保的，将一并退回银行同期存款利息（扣除银行手续费）。</w:t>
            </w:r>
            <w:r>
              <w:rPr>
                <w:rFonts w:hint="eastAsia" w:ascii="宋体" w:hAnsi="宋体" w:eastAsia="宋体" w:cs="宋体"/>
                <w:sz w:val="24"/>
                <w:szCs w:val="24"/>
                <w:highlight w:val="none"/>
              </w:rPr>
              <w:t xml:space="preserve">    </w:t>
            </w:r>
            <w:bookmarkEnd w:id="58"/>
          </w:p>
        </w:tc>
      </w:tr>
      <w:tr w14:paraId="360C51C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05"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67ABBEB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30</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22247C6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投标报价</w:t>
            </w:r>
            <w:r>
              <w:rPr>
                <w:rFonts w:hint="eastAsia" w:ascii="宋体" w:hAnsi="宋体" w:eastAsia="宋体" w:cs="宋体"/>
                <w:sz w:val="24"/>
                <w:szCs w:val="24"/>
                <w:highlight w:val="none"/>
              </w:rPr>
              <w:t>（适用于采用工程量清单报价的项目）</w:t>
            </w:r>
          </w:p>
        </w:tc>
        <w:tc>
          <w:tcPr>
            <w:tcW w:w="6798" w:type="dxa"/>
            <w:tcBorders>
              <w:top w:val="single" w:color="auto" w:sz="4" w:space="0"/>
              <w:left w:val="single" w:color="auto" w:sz="6" w:space="0"/>
              <w:bottom w:val="single" w:color="auto" w:sz="6" w:space="0"/>
              <w:right w:val="single" w:color="auto" w:sz="6" w:space="0"/>
            </w:tcBorders>
            <w:vAlign w:val="center"/>
          </w:tcPr>
          <w:p w14:paraId="648FD90A">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投标人的投标总报价，应是完成招标范围内已列明工作的全部费用，包括但不限于完成工作的成本、利润、税金、技术措施费、大型机械进出场费、风险费以及政策性文件规定费用等，不得以任何理由予以重复计算。</w:t>
            </w:r>
          </w:p>
          <w:p w14:paraId="42B8ECE2">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14:paraId="745E8886">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 xml:space="preserve">招标人提供的工程量清单或招标文件其他部分中有关规费、暂列金额、暂估价等非竞争性项目明列了单价或合价的金额的，投标人应按照明列的单价或合价的金额报价，未按照规定金额报价的，将否决其投标。 </w:t>
            </w:r>
          </w:p>
          <w:p w14:paraId="2C8E98C6">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bookmarkStart w:id="59" w:name="op1_t25_2"/>
            <w:r>
              <w:rPr>
                <w:rStyle w:val="64"/>
                <w:rFonts w:hint="eastAsia" w:ascii="宋体" w:hAnsi="宋体" w:eastAsia="宋体" w:cs="宋体"/>
                <w:b w:val="0"/>
                <w:sz w:val="24"/>
                <w:szCs w:val="24"/>
                <w:highlight w:val="none"/>
              </w:rPr>
              <w:sym w:font="Wingdings 2" w:char="F0A3"/>
            </w:r>
            <w:bookmarkEnd w:id="59"/>
            <w:r>
              <w:rPr>
                <w:rStyle w:val="64"/>
                <w:rFonts w:hint="eastAsia" w:ascii="宋体" w:hAnsi="宋体" w:eastAsia="宋体" w:cs="宋体"/>
                <w:b w:val="0"/>
                <w:sz w:val="24"/>
                <w:szCs w:val="24"/>
                <w:highlight w:val="none"/>
              </w:rPr>
              <w:t>其它说明</w:t>
            </w:r>
            <w:r>
              <w:rPr>
                <w:rFonts w:hint="eastAsia" w:ascii="宋体" w:hAnsi="宋体" w:eastAsia="宋体" w:cs="宋体"/>
                <w:b/>
                <w:sz w:val="24"/>
                <w:szCs w:val="24"/>
                <w:highlight w:val="none"/>
              </w:rPr>
              <w:t>：</w:t>
            </w:r>
            <w:bookmarkStart w:id="60" w:name="blank_t25_1"/>
            <w:r>
              <w:rPr>
                <w:rFonts w:hint="eastAsia" w:ascii="宋体" w:hAnsi="宋体" w:eastAsia="宋体" w:cs="宋体"/>
                <w:sz w:val="24"/>
                <w:szCs w:val="24"/>
                <w:highlight w:val="none"/>
              </w:rPr>
              <w:t xml:space="preserve">         </w:t>
            </w:r>
            <w:bookmarkEnd w:id="60"/>
          </w:p>
        </w:tc>
      </w:tr>
      <w:tr w14:paraId="0362A49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6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07506B4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31</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280575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暂列金额</w:t>
            </w:r>
          </w:p>
        </w:tc>
        <w:tc>
          <w:tcPr>
            <w:tcW w:w="6798" w:type="dxa"/>
            <w:tcBorders>
              <w:top w:val="single" w:color="auto" w:sz="6" w:space="0"/>
              <w:left w:val="single" w:color="auto" w:sz="6" w:space="0"/>
              <w:bottom w:val="single" w:color="auto" w:sz="6" w:space="0"/>
              <w:right w:val="single" w:color="auto" w:sz="6" w:space="0"/>
            </w:tcBorders>
          </w:tcPr>
          <w:p w14:paraId="50FBB8C7">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1" w:name="op1_t30_1"/>
            <w:r>
              <w:rPr>
                <w:rFonts w:hint="eastAsia" w:ascii="宋体" w:hAnsi="宋体" w:eastAsia="宋体" w:cs="宋体"/>
                <w:sz w:val="24"/>
                <w:szCs w:val="24"/>
                <w:highlight w:val="none"/>
              </w:rPr>
              <w:sym w:font="Wingdings 2" w:char="F0A3"/>
            </w:r>
            <w:bookmarkEnd w:id="61"/>
            <w:r>
              <w:rPr>
                <w:rFonts w:hint="eastAsia" w:ascii="宋体" w:hAnsi="宋体" w:eastAsia="宋体" w:cs="宋体"/>
                <w:sz w:val="24"/>
                <w:szCs w:val="24"/>
                <w:highlight w:val="none"/>
              </w:rPr>
              <w:t>按</w:t>
            </w:r>
            <w:bookmarkStart w:id="62" w:name="blank_t30_1"/>
            <w:r>
              <w:rPr>
                <w:rFonts w:hint="eastAsia" w:ascii="宋体" w:hAnsi="宋体" w:eastAsia="宋体" w:cs="宋体"/>
                <w:sz w:val="24"/>
                <w:szCs w:val="24"/>
                <w:highlight w:val="none"/>
                <w:u w:val="single"/>
              </w:rPr>
              <w:t xml:space="preserve">          </w:t>
            </w:r>
            <w:bookmarkEnd w:id="62"/>
            <w:r>
              <w:rPr>
                <w:rFonts w:hint="eastAsia" w:ascii="宋体" w:hAnsi="宋体" w:eastAsia="宋体" w:cs="宋体"/>
                <w:sz w:val="24"/>
                <w:szCs w:val="24"/>
                <w:highlight w:val="none"/>
              </w:rPr>
              <w:t>元填报，少报或不报视为已包含在总报价中而不予另外支付。</w:t>
            </w:r>
          </w:p>
          <w:p w14:paraId="7CD73B32">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3" w:name="op1_t30_2"/>
            <w:r>
              <w:rPr>
                <w:rFonts w:hint="eastAsia" w:ascii="宋体" w:hAnsi="宋体" w:eastAsia="宋体" w:cs="宋体"/>
                <w:sz w:val="24"/>
                <w:szCs w:val="24"/>
                <w:highlight w:val="none"/>
              </w:rPr>
              <w:sym w:font="Wingdings 2" w:char="F0A3"/>
            </w:r>
            <w:bookmarkEnd w:id="63"/>
            <w:r>
              <w:rPr>
                <w:rFonts w:hint="eastAsia" w:ascii="宋体" w:hAnsi="宋体" w:eastAsia="宋体" w:cs="宋体"/>
                <w:sz w:val="24"/>
                <w:szCs w:val="24"/>
                <w:highlight w:val="none"/>
              </w:rPr>
              <w:t>按实际发生结算</w:t>
            </w:r>
          </w:p>
          <w:p w14:paraId="3B76401F">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4" w:name="op1_t30_3"/>
            <w:r>
              <w:rPr>
                <w:rFonts w:hint="eastAsia" w:ascii="宋体" w:hAnsi="宋体" w:eastAsia="宋体" w:cs="宋体"/>
                <w:sz w:val="24"/>
                <w:szCs w:val="24"/>
                <w:highlight w:val="none"/>
              </w:rPr>
              <w:sym w:font="Wingdings 2" w:char="F0A3"/>
            </w:r>
            <w:bookmarkEnd w:id="64"/>
            <w:r>
              <w:rPr>
                <w:rFonts w:hint="eastAsia" w:ascii="宋体" w:hAnsi="宋体" w:eastAsia="宋体" w:cs="宋体"/>
                <w:sz w:val="24"/>
                <w:szCs w:val="24"/>
                <w:highlight w:val="none"/>
              </w:rPr>
              <w:t>其它说明：</w:t>
            </w:r>
            <w:bookmarkStart w:id="65" w:name="blank_t30_2"/>
            <w:r>
              <w:rPr>
                <w:rFonts w:hint="eastAsia" w:ascii="宋体" w:hAnsi="宋体" w:eastAsia="宋体" w:cs="宋体"/>
                <w:sz w:val="24"/>
                <w:szCs w:val="24"/>
                <w:highlight w:val="none"/>
                <w:u w:val="single"/>
              </w:rPr>
              <w:t xml:space="preserve">         </w:t>
            </w:r>
            <w:bookmarkEnd w:id="65"/>
          </w:p>
        </w:tc>
      </w:tr>
      <w:tr w14:paraId="5804BCD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48"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40E52D59">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A18040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暂估价</w:t>
            </w:r>
          </w:p>
        </w:tc>
        <w:tc>
          <w:tcPr>
            <w:tcW w:w="6798" w:type="dxa"/>
            <w:tcBorders>
              <w:top w:val="single" w:color="auto" w:sz="6" w:space="0"/>
              <w:left w:val="single" w:color="auto" w:sz="6" w:space="0"/>
              <w:bottom w:val="single" w:color="auto" w:sz="6" w:space="0"/>
              <w:right w:val="single" w:color="auto" w:sz="6" w:space="0"/>
            </w:tcBorders>
          </w:tcPr>
          <w:p w14:paraId="5CEA540C">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元填报，少报或不报视为已包含在总报价中而不予另外支付。</w:t>
            </w:r>
          </w:p>
          <w:p w14:paraId="2764F89C">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按实际发生结算</w:t>
            </w:r>
          </w:p>
          <w:p w14:paraId="5CF89D65">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其它说明：</w:t>
            </w:r>
            <w:r>
              <w:rPr>
                <w:rFonts w:hint="eastAsia" w:ascii="宋体" w:hAnsi="宋体" w:eastAsia="宋体" w:cs="宋体"/>
                <w:sz w:val="24"/>
                <w:szCs w:val="24"/>
                <w:highlight w:val="none"/>
                <w:u w:val="single"/>
              </w:rPr>
              <w:t xml:space="preserve">         </w:t>
            </w:r>
          </w:p>
        </w:tc>
      </w:tr>
      <w:tr w14:paraId="2207360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28"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4AC70BC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33</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10A05666">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税金</w:t>
            </w:r>
          </w:p>
        </w:tc>
        <w:tc>
          <w:tcPr>
            <w:tcW w:w="6798" w:type="dxa"/>
            <w:tcBorders>
              <w:top w:val="single" w:color="auto" w:sz="6" w:space="0"/>
              <w:left w:val="single" w:color="auto" w:sz="6" w:space="0"/>
              <w:bottom w:val="single" w:color="auto" w:sz="4" w:space="0"/>
              <w:right w:val="single" w:color="auto" w:sz="6" w:space="0"/>
            </w:tcBorders>
            <w:vAlign w:val="center"/>
          </w:tcPr>
          <w:p w14:paraId="5838570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税金等在投标报价中属于非竞争性费用，投标人必须按照规定税率进行报价，</w:t>
            </w:r>
            <w:r>
              <w:rPr>
                <w:rStyle w:val="64"/>
                <w:rFonts w:hint="eastAsia" w:ascii="宋体" w:hAnsi="宋体" w:eastAsia="宋体" w:cs="宋体"/>
                <w:b w:val="0"/>
                <w:sz w:val="24"/>
                <w:szCs w:val="24"/>
                <w:highlight w:val="none"/>
              </w:rPr>
              <w:t>多报或少报将视为无效投标文件</w:t>
            </w:r>
            <w:r>
              <w:rPr>
                <w:rFonts w:hint="eastAsia" w:ascii="宋体" w:hAnsi="宋体" w:eastAsia="宋体" w:cs="宋体"/>
                <w:sz w:val="24"/>
                <w:szCs w:val="24"/>
                <w:highlight w:val="none"/>
              </w:rPr>
              <w:t>。</w:t>
            </w:r>
          </w:p>
          <w:tbl>
            <w:tblPr>
              <w:tblStyle w:val="62"/>
              <w:tblW w:w="6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319"/>
              <w:gridCol w:w="3950"/>
              <w:gridCol w:w="765"/>
            </w:tblGrid>
            <w:tr w14:paraId="6439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484" w:type="dxa"/>
                  <w:vAlign w:val="center"/>
                </w:tcPr>
                <w:p w14:paraId="6AF35611">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序号</w:t>
                  </w:r>
                </w:p>
              </w:tc>
              <w:tc>
                <w:tcPr>
                  <w:tcW w:w="1319" w:type="dxa"/>
                  <w:vAlign w:val="center"/>
                </w:tcPr>
                <w:p w14:paraId="79BC881C">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费用名称</w:t>
                  </w:r>
                </w:p>
              </w:tc>
              <w:tc>
                <w:tcPr>
                  <w:tcW w:w="3950" w:type="dxa"/>
                  <w:vAlign w:val="center"/>
                </w:tcPr>
                <w:p w14:paraId="20F44C5D">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计费基础</w:t>
                  </w:r>
                </w:p>
              </w:tc>
              <w:tc>
                <w:tcPr>
                  <w:tcW w:w="765" w:type="dxa"/>
                  <w:vAlign w:val="center"/>
                </w:tcPr>
                <w:p w14:paraId="25D77E76">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费率</w:t>
                  </w:r>
                </w:p>
              </w:tc>
            </w:tr>
            <w:tr w14:paraId="5BC0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84" w:type="dxa"/>
                  <w:vAlign w:val="center"/>
                </w:tcPr>
                <w:p w14:paraId="0B3033BC">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1</w:t>
                  </w:r>
                </w:p>
              </w:tc>
              <w:tc>
                <w:tcPr>
                  <w:tcW w:w="1319" w:type="dxa"/>
                  <w:vAlign w:val="center"/>
                </w:tcPr>
                <w:p w14:paraId="4F4A7900">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增值税销项税额</w:t>
                  </w:r>
                </w:p>
              </w:tc>
              <w:tc>
                <w:tcPr>
                  <w:tcW w:w="3950" w:type="dxa"/>
                  <w:vAlign w:val="center"/>
                </w:tcPr>
                <w:p w14:paraId="545A24D9">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分部分项合计+措施合计+其他项目</w:t>
                  </w:r>
                </w:p>
              </w:tc>
              <w:tc>
                <w:tcPr>
                  <w:tcW w:w="765" w:type="dxa"/>
                  <w:vAlign w:val="center"/>
                </w:tcPr>
                <w:p w14:paraId="551E80B5">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9%</w:t>
                  </w:r>
                </w:p>
              </w:tc>
            </w:tr>
          </w:tbl>
          <w:p w14:paraId="02AC656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6" w:name="op1_t27_2"/>
            <w:r>
              <w:rPr>
                <w:rFonts w:hint="eastAsia" w:ascii="宋体" w:hAnsi="宋体" w:eastAsia="宋体" w:cs="宋体"/>
                <w:sz w:val="24"/>
                <w:szCs w:val="24"/>
                <w:highlight w:val="none"/>
              </w:rPr>
              <w:sym w:font="Wingdings 2" w:char="F0A3"/>
            </w:r>
            <w:bookmarkEnd w:id="66"/>
            <w:r>
              <w:rPr>
                <w:rFonts w:hint="eastAsia" w:ascii="宋体" w:hAnsi="宋体" w:eastAsia="宋体" w:cs="宋体"/>
                <w:sz w:val="24"/>
                <w:szCs w:val="24"/>
                <w:highlight w:val="none"/>
              </w:rPr>
              <w:t>其它说明：</w:t>
            </w:r>
            <w:bookmarkStart w:id="67" w:name="blank_t27_1"/>
            <w:r>
              <w:rPr>
                <w:rFonts w:hint="eastAsia" w:ascii="宋体" w:hAnsi="宋体" w:eastAsia="宋体" w:cs="宋体"/>
                <w:sz w:val="24"/>
                <w:szCs w:val="24"/>
                <w:highlight w:val="none"/>
              </w:rPr>
              <w:t xml:space="preserve">         </w:t>
            </w:r>
            <w:bookmarkEnd w:id="67"/>
          </w:p>
        </w:tc>
      </w:tr>
      <w:tr w14:paraId="4A52D43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36"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318016D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34</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7FA2E3EF">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绿色施工安全防护措施费</w:t>
            </w:r>
          </w:p>
        </w:tc>
        <w:tc>
          <w:tcPr>
            <w:tcW w:w="6798" w:type="dxa"/>
            <w:tcBorders>
              <w:top w:val="single" w:color="auto" w:sz="4" w:space="0"/>
              <w:left w:val="single" w:color="auto" w:sz="6" w:space="0"/>
              <w:bottom w:val="single" w:color="auto" w:sz="6" w:space="0"/>
              <w:right w:val="single" w:color="auto" w:sz="6" w:space="0"/>
            </w:tcBorders>
          </w:tcPr>
          <w:p w14:paraId="30A5FF4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绿色施工安全防护措施费在投标报价中属于不可竞争费用，其内容和范围应以现行广东省统一工程计价依据规定为准。投标人必须按照广东省的相关规定进行报价，</w:t>
            </w:r>
            <w:r>
              <w:rPr>
                <w:rStyle w:val="64"/>
                <w:rFonts w:hint="eastAsia" w:ascii="宋体" w:hAnsi="宋体" w:eastAsia="宋体" w:cs="宋体"/>
                <w:b w:val="0"/>
                <w:sz w:val="24"/>
                <w:szCs w:val="24"/>
                <w:highlight w:val="none"/>
              </w:rPr>
              <w:t>多报或少报将视为无效投标文件（详见下表）</w:t>
            </w:r>
            <w:r>
              <w:rPr>
                <w:rFonts w:hint="eastAsia" w:ascii="宋体" w:hAnsi="宋体" w:eastAsia="宋体" w:cs="宋体"/>
                <w:sz w:val="24"/>
                <w:szCs w:val="24"/>
                <w:highlight w:val="none"/>
              </w:rPr>
              <w:t>。</w:t>
            </w:r>
            <w:bookmarkStart w:id="68" w:name="op1_t28_2"/>
          </w:p>
          <w:bookmarkEnd w:id="68"/>
          <w:tbl>
            <w:tblPr>
              <w:tblStyle w:val="61"/>
              <w:tblW w:w="6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051"/>
              <w:gridCol w:w="1783"/>
            </w:tblGrid>
            <w:tr w14:paraId="1769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4" w:type="dxa"/>
                  <w:vAlign w:val="center"/>
                </w:tcPr>
                <w:p w14:paraId="39139795">
                  <w:pPr>
                    <w:keepNext/>
                    <w:keepLines/>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4051" w:type="dxa"/>
                  <w:vAlign w:val="center"/>
                </w:tcPr>
                <w:p w14:paraId="110B04FE">
                  <w:pPr>
                    <w:keepNext/>
                    <w:keepLines/>
                    <w:pageBreakBefore w:val="0"/>
                    <w:widowControl/>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单位工程名称</w:t>
                  </w:r>
                </w:p>
              </w:tc>
              <w:tc>
                <w:tcPr>
                  <w:tcW w:w="1783" w:type="dxa"/>
                  <w:vAlign w:val="center"/>
                </w:tcPr>
                <w:p w14:paraId="201BB9C8">
                  <w:pPr>
                    <w:keepNext/>
                    <w:keepLines/>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投标人填报的绿色施工安全防护措施费（元）</w:t>
                  </w:r>
                </w:p>
              </w:tc>
            </w:tr>
            <w:tr w14:paraId="3F6D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4" w:type="dxa"/>
                  <w:vAlign w:val="center"/>
                </w:tcPr>
                <w:p w14:paraId="6941E61B">
                  <w:pPr>
                    <w:keepNext/>
                    <w:keepLines/>
                    <w:widowControl/>
                    <w:suppressLineNumbers w:val="0"/>
                    <w:spacing w:line="440" w:lineRule="exact"/>
                    <w:ind w:firstLine="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kern w:val="2"/>
                      <w:sz w:val="24"/>
                      <w:szCs w:val="24"/>
                      <w:highlight w:val="none"/>
                      <w:u w:val="none"/>
                      <w:lang w:val="en-US" w:eastAsia="zh-CN" w:bidi="ar"/>
                    </w:rPr>
                    <w:t>1</w:t>
                  </w:r>
                </w:p>
              </w:tc>
              <w:tc>
                <w:tcPr>
                  <w:tcW w:w="4051" w:type="dxa"/>
                  <w:vAlign w:val="center"/>
                </w:tcPr>
                <w:p w14:paraId="5B858B81">
                  <w:pPr>
                    <w:keepNext/>
                    <w:keepLines/>
                    <w:widowControl/>
                    <w:suppressLineNumbers w:val="0"/>
                    <w:spacing w:line="440" w:lineRule="exact"/>
                    <w:ind w:firstLine="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i w:val="0"/>
                      <w:iCs w:val="0"/>
                      <w:kern w:val="2"/>
                      <w:sz w:val="24"/>
                      <w:szCs w:val="24"/>
                      <w:highlight w:val="none"/>
                      <w:u w:val="none"/>
                      <w:lang w:val="en-US" w:eastAsia="zh-CN" w:bidi="ar"/>
                    </w:rPr>
                    <w:t>狮山镇下柏社区本德黄公祠修缮工程-建筑与装饰工程</w:t>
                  </w:r>
                </w:p>
              </w:tc>
              <w:tc>
                <w:tcPr>
                  <w:tcW w:w="1783" w:type="dxa"/>
                  <w:vAlign w:val="center"/>
                </w:tcPr>
                <w:p w14:paraId="2C02D224">
                  <w:pPr>
                    <w:keepNext/>
                    <w:keepLines/>
                    <w:widowControl/>
                    <w:suppressLineNumbers w:val="0"/>
                    <w:spacing w:line="440" w:lineRule="exact"/>
                    <w:ind w:firstLine="0"/>
                    <w:jc w:val="left"/>
                    <w:textAlignment w:val="auto"/>
                    <w:rPr>
                      <w:rFonts w:hint="eastAsia" w:ascii="宋体" w:hAnsi="宋体" w:eastAsia="宋体" w:cs="宋体"/>
                      <w:b/>
                      <w:bCs/>
                      <w:sz w:val="24"/>
                      <w:szCs w:val="24"/>
                      <w:highlight w:val="none"/>
                      <w:lang w:val="en-US"/>
                    </w:rPr>
                  </w:pPr>
                  <w:r>
                    <w:rPr>
                      <w:rFonts w:hint="eastAsia" w:ascii="宋体" w:hAnsi="宋体" w:eastAsia="宋体" w:cs="宋体"/>
                      <w:b/>
                      <w:bCs/>
                      <w:i w:val="0"/>
                      <w:iCs w:val="0"/>
                      <w:kern w:val="2"/>
                      <w:sz w:val="24"/>
                      <w:szCs w:val="24"/>
                      <w:highlight w:val="none"/>
                      <w:u w:val="none"/>
                      <w:lang w:val="en-US" w:eastAsia="zh-CN" w:bidi="ar"/>
                    </w:rPr>
                    <w:t xml:space="preserve">107,296.04 </w:t>
                  </w:r>
                </w:p>
              </w:tc>
            </w:tr>
            <w:tr w14:paraId="528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4" w:type="dxa"/>
                  <w:vAlign w:val="center"/>
                </w:tcPr>
                <w:p w14:paraId="1B087C78">
                  <w:pPr>
                    <w:keepNext/>
                    <w:keepLines/>
                    <w:widowControl/>
                    <w:suppressLineNumbers w:val="0"/>
                    <w:spacing w:line="440" w:lineRule="exact"/>
                    <w:ind w:firstLine="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kern w:val="2"/>
                      <w:sz w:val="24"/>
                      <w:szCs w:val="24"/>
                      <w:highlight w:val="none"/>
                      <w:u w:val="none"/>
                      <w:lang w:val="en-US" w:eastAsia="zh-CN" w:bidi="ar"/>
                    </w:rPr>
                    <w:t>2</w:t>
                  </w:r>
                </w:p>
              </w:tc>
              <w:tc>
                <w:tcPr>
                  <w:tcW w:w="4051" w:type="dxa"/>
                  <w:vAlign w:val="center"/>
                </w:tcPr>
                <w:p w14:paraId="51D57CC1">
                  <w:pPr>
                    <w:keepNext/>
                    <w:keepLines/>
                    <w:widowControl/>
                    <w:suppressLineNumbers w:val="0"/>
                    <w:spacing w:line="440" w:lineRule="exact"/>
                    <w:ind w:firstLine="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i w:val="0"/>
                      <w:iCs w:val="0"/>
                      <w:kern w:val="2"/>
                      <w:sz w:val="24"/>
                      <w:szCs w:val="24"/>
                      <w:highlight w:val="none"/>
                      <w:u w:val="none"/>
                      <w:lang w:val="en-US" w:eastAsia="zh-CN" w:bidi="ar"/>
                    </w:rPr>
                    <w:t>狮山镇下柏社区本德黄公祠修缮工程-安装工程</w:t>
                  </w:r>
                </w:p>
              </w:tc>
              <w:tc>
                <w:tcPr>
                  <w:tcW w:w="1783" w:type="dxa"/>
                  <w:vAlign w:val="center"/>
                </w:tcPr>
                <w:p w14:paraId="5826961C">
                  <w:pPr>
                    <w:keepNext/>
                    <w:keepLines/>
                    <w:widowControl/>
                    <w:suppressLineNumbers w:val="0"/>
                    <w:spacing w:line="440" w:lineRule="exact"/>
                    <w:ind w:firstLine="0"/>
                    <w:jc w:val="left"/>
                    <w:textAlignment w:val="auto"/>
                    <w:rPr>
                      <w:rFonts w:hint="eastAsia" w:ascii="宋体" w:hAnsi="宋体" w:eastAsia="宋体" w:cs="宋体"/>
                      <w:b/>
                      <w:bCs/>
                      <w:sz w:val="24"/>
                      <w:szCs w:val="24"/>
                      <w:highlight w:val="none"/>
                    </w:rPr>
                  </w:pPr>
                  <w:r>
                    <w:rPr>
                      <w:rFonts w:hint="eastAsia" w:ascii="宋体" w:hAnsi="宋体" w:eastAsia="宋体" w:cs="宋体"/>
                      <w:b/>
                      <w:bCs/>
                      <w:i w:val="0"/>
                      <w:iCs w:val="0"/>
                      <w:kern w:val="2"/>
                      <w:sz w:val="24"/>
                      <w:szCs w:val="24"/>
                      <w:highlight w:val="none"/>
                      <w:u w:val="none"/>
                      <w:lang w:val="en-US" w:eastAsia="zh-CN" w:bidi="ar"/>
                    </w:rPr>
                    <w:t xml:space="preserve">3,022.54 </w:t>
                  </w:r>
                </w:p>
              </w:tc>
            </w:tr>
            <w:tr w14:paraId="7208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55" w:type="dxa"/>
                  <w:gridSpan w:val="2"/>
                  <w:vAlign w:val="center"/>
                </w:tcPr>
                <w:p w14:paraId="34483F39">
                  <w:pPr>
                    <w:keepNext/>
                    <w:keepLines/>
                    <w:pageBreakBefore w:val="0"/>
                    <w:widowControl/>
                    <w:kinsoku/>
                    <w:wordWrap/>
                    <w:overflowPunct/>
                    <w:topLinePunct w:val="0"/>
                    <w:autoSpaceDE/>
                    <w:autoSpaceDN/>
                    <w:bidi w:val="0"/>
                    <w:adjustRightInd/>
                    <w:snapToGrid/>
                    <w:spacing w:line="440" w:lineRule="exact"/>
                    <w:ind w:firstLine="373"/>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1783" w:type="dxa"/>
                  <w:vAlign w:val="center"/>
                </w:tcPr>
                <w:p w14:paraId="0844789C">
                  <w:pPr>
                    <w:keepNext/>
                    <w:keepLines/>
                    <w:pageBreakBefore w:val="0"/>
                    <w:widowControl/>
                    <w:kinsoku/>
                    <w:wordWrap/>
                    <w:overflowPunct/>
                    <w:topLinePunct w:val="0"/>
                    <w:autoSpaceDE/>
                    <w:autoSpaceDN/>
                    <w:bidi w:val="0"/>
                    <w:adjustRightInd/>
                    <w:snapToGrid/>
                    <w:spacing w:line="440" w:lineRule="exact"/>
                    <w:ind w:firstLine="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110,318.58</w:t>
                  </w:r>
                </w:p>
              </w:tc>
            </w:tr>
          </w:tbl>
          <w:p w14:paraId="2E85705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其它说明：</w:t>
            </w:r>
          </w:p>
        </w:tc>
      </w:tr>
      <w:tr w14:paraId="14705AA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91"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2D3E10B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35</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B24AB1E">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主要材料</w:t>
            </w:r>
          </w:p>
          <w:p w14:paraId="31A38BF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报价要求</w:t>
            </w:r>
          </w:p>
        </w:tc>
        <w:tc>
          <w:tcPr>
            <w:tcW w:w="6798" w:type="dxa"/>
            <w:tcBorders>
              <w:top w:val="single" w:color="auto" w:sz="6" w:space="0"/>
              <w:left w:val="single" w:color="auto" w:sz="6" w:space="0"/>
              <w:bottom w:val="single" w:color="auto" w:sz="6" w:space="0"/>
              <w:right w:val="single" w:color="auto" w:sz="6" w:space="0"/>
            </w:tcBorders>
            <w:vAlign w:val="center"/>
          </w:tcPr>
          <w:p w14:paraId="7359550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如招标人对主要材料有要求，投标人应响应或不低于该要求。否则，一旦中标，招标人有权指定符合设计规范要求的产品。     </w:t>
            </w:r>
          </w:p>
          <w:p w14:paraId="6B62AC6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9" w:name="op1_t31_2"/>
            <w:r>
              <w:rPr>
                <w:rFonts w:hint="eastAsia" w:ascii="宋体" w:hAnsi="宋体" w:eastAsia="宋体" w:cs="宋体"/>
                <w:sz w:val="24"/>
                <w:szCs w:val="24"/>
                <w:highlight w:val="none"/>
              </w:rPr>
              <w:sym w:font="Wingdings 2" w:char="F0A3"/>
            </w:r>
            <w:bookmarkEnd w:id="69"/>
            <w:r>
              <w:rPr>
                <w:rFonts w:hint="eastAsia" w:ascii="宋体" w:hAnsi="宋体" w:eastAsia="宋体" w:cs="宋体"/>
                <w:sz w:val="24"/>
                <w:szCs w:val="24"/>
                <w:highlight w:val="none"/>
              </w:rPr>
              <w:t>其它说明：</w:t>
            </w:r>
            <w:bookmarkStart w:id="70" w:name="blank_t31_1"/>
            <w:r>
              <w:rPr>
                <w:rFonts w:hint="eastAsia" w:ascii="宋体" w:hAnsi="宋体" w:eastAsia="宋体" w:cs="宋体"/>
                <w:sz w:val="24"/>
                <w:szCs w:val="24"/>
                <w:highlight w:val="none"/>
              </w:rPr>
              <w:t xml:space="preserve">         </w:t>
            </w:r>
            <w:bookmarkEnd w:id="70"/>
          </w:p>
        </w:tc>
      </w:tr>
      <w:tr w14:paraId="5097BEA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88"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9E578A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36</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118F442F">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增减工程、工程量误差引起结算造价变化的调整条件</w:t>
            </w:r>
          </w:p>
        </w:tc>
        <w:tc>
          <w:tcPr>
            <w:tcW w:w="6798" w:type="dxa"/>
            <w:tcBorders>
              <w:top w:val="single" w:color="auto" w:sz="6" w:space="0"/>
              <w:left w:val="single" w:color="auto" w:sz="6" w:space="0"/>
              <w:bottom w:val="single" w:color="auto" w:sz="6" w:space="0"/>
              <w:right w:val="single" w:color="auto" w:sz="6" w:space="0"/>
            </w:tcBorders>
          </w:tcPr>
          <w:p w14:paraId="6513B50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招标人确认的工程量增减。      </w:t>
            </w:r>
          </w:p>
          <w:p w14:paraId="01B5040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招标人确认的设计变更或工程商洽。</w:t>
            </w:r>
          </w:p>
          <w:p w14:paraId="10FAC79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71" w:name="op1_t32_3"/>
            <w:r>
              <w:rPr>
                <w:rFonts w:hint="eastAsia" w:ascii="宋体" w:hAnsi="宋体" w:eastAsia="宋体" w:cs="宋体"/>
                <w:sz w:val="24"/>
                <w:szCs w:val="24"/>
                <w:highlight w:val="none"/>
              </w:rPr>
              <w:sym w:font="Wingdings 2" w:char="F0A3"/>
            </w:r>
            <w:bookmarkEnd w:id="71"/>
            <w:r>
              <w:rPr>
                <w:rFonts w:hint="eastAsia" w:ascii="宋体" w:hAnsi="宋体" w:eastAsia="宋体" w:cs="宋体"/>
                <w:sz w:val="24"/>
                <w:szCs w:val="24"/>
                <w:highlight w:val="none"/>
              </w:rPr>
              <w:t>工程量清单中误差不超过±</w:t>
            </w:r>
            <w:bookmarkStart w:id="72" w:name="blank_t32_1"/>
            <w:r>
              <w:rPr>
                <w:rFonts w:hint="eastAsia" w:ascii="宋体" w:hAnsi="宋体" w:eastAsia="宋体" w:cs="宋体"/>
                <w:b/>
                <w:bCs/>
                <w:sz w:val="24"/>
                <w:szCs w:val="24"/>
                <w:highlight w:val="none"/>
                <w:u w:val="single"/>
              </w:rPr>
              <w:t xml:space="preserve">  </w:t>
            </w:r>
            <w:bookmarkEnd w:id="72"/>
            <w:r>
              <w:rPr>
                <w:rFonts w:hint="eastAsia" w:ascii="宋体" w:hAnsi="宋体" w:eastAsia="宋体" w:cs="宋体"/>
                <w:sz w:val="24"/>
                <w:szCs w:val="24"/>
                <w:highlight w:val="none"/>
              </w:rPr>
              <w:t>%（含</w:t>
            </w:r>
            <w:bookmarkStart w:id="73" w:name="blank_t32_2"/>
            <w:r>
              <w:rPr>
                <w:rFonts w:hint="eastAsia" w:ascii="宋体" w:hAnsi="宋体" w:eastAsia="宋体" w:cs="宋体"/>
                <w:b/>
                <w:bCs/>
                <w:sz w:val="24"/>
                <w:szCs w:val="24"/>
                <w:highlight w:val="none"/>
                <w:u w:val="single"/>
              </w:rPr>
              <w:t xml:space="preserve">  </w:t>
            </w:r>
            <w:bookmarkEnd w:id="73"/>
            <w:r>
              <w:rPr>
                <w:rFonts w:hint="eastAsia" w:ascii="宋体" w:hAnsi="宋体" w:eastAsia="宋体" w:cs="宋体"/>
                <w:sz w:val="24"/>
                <w:szCs w:val="24"/>
                <w:highlight w:val="none"/>
              </w:rPr>
              <w:t>%）的项目不予调整,误差超过±</w:t>
            </w:r>
            <w:bookmarkStart w:id="74" w:name="blank_t32_3"/>
            <w:r>
              <w:rPr>
                <w:rFonts w:hint="eastAsia" w:ascii="宋体" w:hAnsi="宋体" w:eastAsia="宋体" w:cs="宋体"/>
                <w:b/>
                <w:bCs/>
                <w:sz w:val="24"/>
                <w:szCs w:val="24"/>
                <w:highlight w:val="none"/>
                <w:u w:val="single"/>
              </w:rPr>
              <w:t xml:space="preserve">   </w:t>
            </w:r>
            <w:bookmarkEnd w:id="74"/>
            <w:r>
              <w:rPr>
                <w:rFonts w:hint="eastAsia" w:ascii="宋体" w:hAnsi="宋体" w:eastAsia="宋体" w:cs="宋体"/>
                <w:sz w:val="24"/>
                <w:szCs w:val="24"/>
                <w:highlight w:val="none"/>
              </w:rPr>
              <w:t>%（不含</w:t>
            </w:r>
            <w:bookmarkStart w:id="75" w:name="blank_t32_4"/>
            <w:r>
              <w:rPr>
                <w:rFonts w:hint="eastAsia" w:ascii="宋体" w:hAnsi="宋体" w:eastAsia="宋体" w:cs="宋体"/>
                <w:b/>
                <w:bCs/>
                <w:sz w:val="24"/>
                <w:szCs w:val="24"/>
                <w:highlight w:val="none"/>
                <w:u w:val="single"/>
              </w:rPr>
              <w:t xml:space="preserve">    </w:t>
            </w:r>
            <w:bookmarkEnd w:id="75"/>
            <w:r>
              <w:rPr>
                <w:rFonts w:hint="eastAsia" w:ascii="宋体" w:hAnsi="宋体" w:eastAsia="宋体" w:cs="宋体"/>
                <w:sz w:val="24"/>
                <w:szCs w:val="24"/>
                <w:highlight w:val="none"/>
              </w:rPr>
              <w:t>%）的项目，其超过±</w:t>
            </w:r>
            <w:bookmarkStart w:id="76" w:name="blank_t32_5"/>
            <w:r>
              <w:rPr>
                <w:rFonts w:hint="eastAsia" w:ascii="宋体" w:hAnsi="宋体" w:eastAsia="宋体" w:cs="宋体"/>
                <w:b/>
                <w:bCs/>
                <w:sz w:val="24"/>
                <w:szCs w:val="24"/>
                <w:highlight w:val="none"/>
                <w:u w:val="single"/>
              </w:rPr>
              <w:t xml:space="preserve">  </w:t>
            </w:r>
            <w:bookmarkEnd w:id="76"/>
            <w:r>
              <w:rPr>
                <w:rFonts w:hint="eastAsia" w:ascii="宋体" w:hAnsi="宋体" w:eastAsia="宋体" w:cs="宋体"/>
                <w:sz w:val="24"/>
                <w:szCs w:val="24"/>
                <w:highlight w:val="none"/>
              </w:rPr>
              <w:t>%以上（不含</w:t>
            </w:r>
            <w:bookmarkStart w:id="77" w:name="blank_t32_6"/>
            <w:r>
              <w:rPr>
                <w:rFonts w:hint="eastAsia" w:ascii="宋体" w:hAnsi="宋体" w:eastAsia="宋体" w:cs="宋体"/>
                <w:b/>
                <w:bCs/>
                <w:sz w:val="24"/>
                <w:szCs w:val="24"/>
                <w:highlight w:val="none"/>
                <w:u w:val="single"/>
              </w:rPr>
              <w:t xml:space="preserve">    </w:t>
            </w:r>
            <w:bookmarkEnd w:id="77"/>
            <w:r>
              <w:rPr>
                <w:rFonts w:hint="eastAsia" w:ascii="宋体" w:hAnsi="宋体" w:eastAsia="宋体" w:cs="宋体"/>
                <w:sz w:val="24"/>
                <w:szCs w:val="24"/>
                <w:highlight w:val="none"/>
              </w:rPr>
              <w:t>%）的部分经双方审核确认后予以调整。</w:t>
            </w:r>
          </w:p>
          <w:p w14:paraId="255AC6D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其它说明</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 xml:space="preserve">详见施工合同条款。 </w:t>
            </w:r>
          </w:p>
        </w:tc>
      </w:tr>
      <w:tr w14:paraId="6D99BE8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39"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67978AC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37</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666E0A8">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工程结算</w:t>
            </w:r>
          </w:p>
          <w:p w14:paraId="680A1FD6">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及调整方式</w:t>
            </w:r>
          </w:p>
        </w:tc>
        <w:tc>
          <w:tcPr>
            <w:tcW w:w="6798" w:type="dxa"/>
            <w:tcBorders>
              <w:top w:val="single" w:color="auto" w:sz="6" w:space="0"/>
              <w:left w:val="single" w:color="auto" w:sz="6" w:space="0"/>
              <w:bottom w:val="single" w:color="auto" w:sz="6" w:space="0"/>
              <w:right w:val="single" w:color="auto" w:sz="6" w:space="0"/>
            </w:tcBorders>
          </w:tcPr>
          <w:p w14:paraId="0FC01503">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78" w:name="op1_t33_1"/>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按投标人投标报价时的工程量清单综合单价结算。工程量清单按招标人和监理单位确认的竣工图纸工程量为依据，按《建设工程工程量清单计价规范》（GB50500—2013）和2018年《广东省建设工程计价依据》进行结算。（适用于承包方式按综合单价包干的项目）</w:t>
            </w:r>
          </w:p>
          <w:p w14:paraId="3E9FFB21">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1）按投标人投标报价的固定总价结算。承包商应根据招标人提供的施工图纸、技术规范等资料及参考本项目工程量清单，工程量清单是投标人投标报价的共同基础。双方约定根据图纸，工程量清单按《水利工程工程量清单计价规范》（GB50501-2007）、《建设工程工程量清单计价规范》（GB50500—2013）计算规则计算的用于投标报价的工程量，为双方认可的并与招标图纸对应的工程量，最终结算工程量是承包人按图纸（含经批准的设计变更）完成的符合技术标准和要求（合同技术条款）的，并经审核批准的工程量。</w:t>
            </w:r>
          </w:p>
          <w:p w14:paraId="6C06A167">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施工过程中有设计变更或根据实际情况需要变更的，以设计变更或招标人、监理单位确认的现场签证的内容为准（设计变更必须经设计单位、监理单位、招标人及其他相关单位核认才有效），最终结算价按财政部门/招标人委托的中介机构审定价格为准。</w:t>
            </w:r>
          </w:p>
          <w:p w14:paraId="11450C9A">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（3）当工程项目变更或增减时，变更或增减工程项目的工程量清单按以下办法确定：</w:t>
            </w:r>
            <w:r>
              <w:rPr>
                <w:rFonts w:hint="eastAsia" w:ascii="宋体" w:hAnsi="宋体" w:eastAsia="宋体" w:cs="宋体"/>
                <w:sz w:val="24"/>
                <w:szCs w:val="24"/>
                <w:highlight w:val="none"/>
                <w:u w:val="single"/>
              </w:rPr>
              <w:t xml:space="preserve"> 详见施工合同条款  </w:t>
            </w:r>
            <w:r>
              <w:rPr>
                <w:rFonts w:hint="eastAsia" w:ascii="宋体" w:hAnsi="宋体" w:eastAsia="宋体" w:cs="宋体"/>
                <w:sz w:val="24"/>
                <w:szCs w:val="24"/>
                <w:highlight w:val="none"/>
              </w:rPr>
              <w:t>。</w:t>
            </w:r>
          </w:p>
          <w:bookmarkEnd w:id="78"/>
          <w:p w14:paraId="63C392BF">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79" w:name="op1_t33_9"/>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按投标人投标报价的固定费率结算。承包商应以招标人及财政部门（如有）确定的预算金额（或结算金额）乘以中标费率后的金额作为工程结算价。（详细条款可于施工合同中说明）。（适用于承包方式按固定费率的项目）</w:t>
            </w:r>
          </w:p>
          <w:p w14:paraId="17AA22C2">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79"/>
            <w:r>
              <w:rPr>
                <w:rFonts w:hint="eastAsia" w:ascii="宋体" w:hAnsi="宋体" w:eastAsia="宋体" w:cs="宋体"/>
                <w:sz w:val="24"/>
                <w:szCs w:val="24"/>
                <w:highlight w:val="none"/>
              </w:rPr>
              <w:t>其它说明：</w:t>
            </w:r>
            <w:bookmarkStart w:id="80" w:name="blank_t33_4"/>
            <w:r>
              <w:rPr>
                <w:rFonts w:hint="eastAsia" w:ascii="宋体" w:hAnsi="宋体" w:eastAsia="宋体" w:cs="宋体"/>
                <w:sz w:val="24"/>
                <w:szCs w:val="24"/>
                <w:highlight w:val="none"/>
                <w:u w:val="single"/>
              </w:rPr>
              <w:t xml:space="preserve">         </w:t>
            </w:r>
            <w:bookmarkEnd w:id="80"/>
            <w:r>
              <w:rPr>
                <w:rFonts w:hint="eastAsia" w:ascii="宋体" w:hAnsi="宋体" w:eastAsia="宋体" w:cs="宋体"/>
                <w:sz w:val="24"/>
                <w:szCs w:val="24"/>
                <w:highlight w:val="none"/>
              </w:rPr>
              <w:t xml:space="preserve"> </w:t>
            </w:r>
          </w:p>
        </w:tc>
      </w:tr>
      <w:tr w14:paraId="7CD60D4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72" w:hRule="exact"/>
          <w:jc w:val="center"/>
        </w:trPr>
        <w:tc>
          <w:tcPr>
            <w:tcW w:w="709" w:type="dxa"/>
            <w:tcBorders>
              <w:top w:val="single" w:color="auto" w:sz="4" w:space="0"/>
              <w:left w:val="single" w:color="auto" w:sz="6" w:space="0"/>
              <w:bottom w:val="single" w:color="auto" w:sz="6" w:space="0"/>
              <w:right w:val="single" w:color="auto" w:sz="6" w:space="0"/>
            </w:tcBorders>
            <w:vAlign w:val="center"/>
          </w:tcPr>
          <w:p w14:paraId="3B8C0DC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38</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22DDDBA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798" w:type="dxa"/>
            <w:tcBorders>
              <w:top w:val="single" w:color="auto" w:sz="4" w:space="0"/>
              <w:left w:val="single" w:color="auto" w:sz="6" w:space="0"/>
              <w:bottom w:val="single" w:color="auto" w:sz="6" w:space="0"/>
              <w:right w:val="single" w:color="auto" w:sz="6" w:space="0"/>
            </w:tcBorders>
            <w:vAlign w:val="center"/>
          </w:tcPr>
          <w:p w14:paraId="04E4CDA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投标文件提交截止时间后：</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30天内有效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45天内有效  </w:t>
            </w:r>
            <w:bookmarkStart w:id="81" w:name="op1_t35_3"/>
            <w:r>
              <w:rPr>
                <w:rFonts w:hint="eastAsia" w:ascii="宋体" w:hAnsi="宋体" w:eastAsia="宋体" w:cs="宋体"/>
                <w:sz w:val="24"/>
                <w:szCs w:val="24"/>
                <w:highlight w:val="none"/>
              </w:rPr>
              <w:sym w:font="Wingdings 2" w:char="F0A3"/>
            </w:r>
            <w:bookmarkEnd w:id="81"/>
            <w:r>
              <w:rPr>
                <w:rFonts w:hint="eastAsia" w:ascii="宋体" w:hAnsi="宋体" w:eastAsia="宋体" w:cs="宋体"/>
                <w:sz w:val="24"/>
                <w:szCs w:val="24"/>
                <w:highlight w:val="none"/>
              </w:rPr>
              <w:t xml:space="preserve">60天内有效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90天内有效  </w:t>
            </w:r>
            <w:bookmarkStart w:id="82" w:name="op1_t35_5"/>
            <w:r>
              <w:rPr>
                <w:rFonts w:hint="eastAsia" w:ascii="宋体" w:hAnsi="宋体" w:eastAsia="宋体" w:cs="宋体"/>
                <w:sz w:val="24"/>
                <w:szCs w:val="24"/>
                <w:highlight w:val="none"/>
              </w:rPr>
              <w:sym w:font="Wingdings 2" w:char="F0A3"/>
            </w:r>
            <w:bookmarkEnd w:id="82"/>
            <w:bookmarkStart w:id="83" w:name="blank_t35_1"/>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天内有效</w:t>
            </w:r>
          </w:p>
        </w:tc>
      </w:tr>
      <w:tr w14:paraId="094B4E4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545" w:hRule="atLeast"/>
          <w:jc w:val="center"/>
        </w:trPr>
        <w:tc>
          <w:tcPr>
            <w:tcW w:w="709" w:type="dxa"/>
            <w:tcBorders>
              <w:top w:val="single" w:color="auto" w:sz="4" w:space="0"/>
              <w:left w:val="single" w:color="auto" w:sz="6" w:space="0"/>
              <w:bottom w:val="single" w:color="auto" w:sz="4" w:space="0"/>
              <w:right w:val="single" w:color="auto" w:sz="6" w:space="0"/>
            </w:tcBorders>
            <w:vAlign w:val="center"/>
          </w:tcPr>
          <w:p w14:paraId="0E9A0C1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39</w:t>
            </w:r>
          </w:p>
        </w:tc>
        <w:tc>
          <w:tcPr>
            <w:tcW w:w="1843" w:type="dxa"/>
            <w:gridSpan w:val="2"/>
            <w:tcBorders>
              <w:top w:val="single" w:color="auto" w:sz="4" w:space="0"/>
              <w:left w:val="single" w:color="auto" w:sz="6" w:space="0"/>
              <w:bottom w:val="single" w:color="auto" w:sz="4" w:space="0"/>
              <w:right w:val="single" w:color="auto" w:sz="6" w:space="0"/>
            </w:tcBorders>
            <w:vAlign w:val="center"/>
          </w:tcPr>
          <w:p w14:paraId="45712BEC">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履约担保或差额履约担保</w:t>
            </w:r>
          </w:p>
        </w:tc>
        <w:tc>
          <w:tcPr>
            <w:tcW w:w="6798" w:type="dxa"/>
            <w:tcBorders>
              <w:top w:val="single" w:color="auto" w:sz="4" w:space="0"/>
              <w:left w:val="single" w:color="auto" w:sz="6" w:space="0"/>
              <w:bottom w:val="single" w:color="auto" w:sz="4" w:space="0"/>
              <w:right w:val="single" w:color="auto" w:sz="6" w:space="0"/>
            </w:tcBorders>
          </w:tcPr>
          <w:p w14:paraId="1F61F79E">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sym w:font="Wingdings 2" w:char="0052"/>
            </w:r>
            <w:r>
              <w:rPr>
                <w:rFonts w:hint="eastAsia" w:ascii="宋体" w:hAnsi="宋体" w:eastAsia="宋体" w:cs="宋体"/>
                <w:bCs/>
                <w:sz w:val="24"/>
                <w:szCs w:val="24"/>
                <w:highlight w:val="none"/>
              </w:rPr>
              <w:t>履约担保</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rPr>
              <w:sym w:font="Wingdings 2" w:char="F0A3"/>
            </w:r>
            <w:r>
              <w:rPr>
                <w:rFonts w:hint="eastAsia" w:ascii="宋体" w:hAnsi="宋体" w:eastAsia="宋体" w:cs="宋体"/>
                <w:bCs/>
                <w:kern w:val="0"/>
                <w:sz w:val="24"/>
                <w:szCs w:val="24"/>
                <w:highlight w:val="none"/>
              </w:rPr>
              <w:t>差额履约担保（中标价与投标最高限价的差额，少于中标价的10％可以按照中标价的10％计算）</w:t>
            </w:r>
          </w:p>
          <w:p w14:paraId="26BAFB50">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保证方式：</w:t>
            </w:r>
            <w:r>
              <w:rPr>
                <w:rFonts w:hint="eastAsia" w:ascii="宋体" w:hAnsi="宋体" w:eastAsia="宋体" w:cs="宋体"/>
                <w:kern w:val="0"/>
                <w:sz w:val="24"/>
                <w:szCs w:val="24"/>
                <w:highlight w:val="none"/>
              </w:rPr>
              <w:sym w:font="Wingdings 2" w:char="0052"/>
            </w:r>
            <w:r>
              <w:rPr>
                <w:rFonts w:hint="eastAsia" w:ascii="宋体" w:hAnsi="宋体" w:eastAsia="宋体" w:cs="宋体"/>
                <w:bCs/>
                <w:sz w:val="24"/>
                <w:szCs w:val="24"/>
                <w:highlight w:val="none"/>
              </w:rPr>
              <w:t>1、</w:t>
            </w:r>
            <w:r>
              <w:rPr>
                <w:rFonts w:hint="eastAsia" w:ascii="宋体" w:hAnsi="宋体" w:eastAsia="宋体" w:cs="宋体"/>
                <w:kern w:val="0"/>
                <w:sz w:val="24"/>
                <w:szCs w:val="24"/>
                <w:highlight w:val="none"/>
              </w:rPr>
              <w:t xml:space="preserve">现金   </w:t>
            </w:r>
            <w:r>
              <w:rPr>
                <w:rFonts w:hint="eastAsia" w:ascii="宋体" w:hAnsi="宋体" w:eastAsia="宋体" w:cs="宋体"/>
                <w:kern w:val="0"/>
                <w:sz w:val="24"/>
                <w:szCs w:val="24"/>
                <w:highlight w:val="none"/>
              </w:rPr>
              <w:sym w:font="Wingdings 2" w:char="0052"/>
            </w:r>
            <w:r>
              <w:rPr>
                <w:rFonts w:hint="eastAsia" w:ascii="宋体" w:hAnsi="宋体" w:eastAsia="宋体" w:cs="宋体"/>
                <w:bCs/>
                <w:sz w:val="24"/>
                <w:szCs w:val="24"/>
                <w:highlight w:val="none"/>
              </w:rPr>
              <w:t>2、</w:t>
            </w:r>
            <w:r>
              <w:rPr>
                <w:rFonts w:hint="eastAsia" w:ascii="宋体" w:hAnsi="宋体" w:eastAsia="宋体" w:cs="宋体"/>
                <w:kern w:val="0"/>
                <w:sz w:val="24"/>
                <w:szCs w:val="24"/>
                <w:highlight w:val="none"/>
              </w:rPr>
              <w:t>银行保函</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rPr>
              <w:sym w:font="Wingdings 2" w:char="0052"/>
            </w:r>
            <w:r>
              <w:rPr>
                <w:rFonts w:hint="eastAsia" w:ascii="宋体" w:hAnsi="宋体" w:eastAsia="宋体" w:cs="宋体"/>
                <w:bCs/>
                <w:sz w:val="24"/>
                <w:szCs w:val="24"/>
                <w:highlight w:val="none"/>
              </w:rPr>
              <w:t>3、专业</w:t>
            </w:r>
            <w:r>
              <w:rPr>
                <w:rFonts w:hint="eastAsia" w:ascii="宋体" w:hAnsi="宋体" w:eastAsia="宋体" w:cs="宋体"/>
                <w:bCs/>
                <w:kern w:val="0"/>
                <w:sz w:val="24"/>
                <w:szCs w:val="24"/>
                <w:highlight w:val="none"/>
              </w:rPr>
              <w:t>担保公司保函</w:t>
            </w:r>
          </w:p>
          <w:p w14:paraId="6295BAE3">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kern w:val="0"/>
                <w:sz w:val="24"/>
                <w:szCs w:val="24"/>
                <w:highlight w:val="none"/>
              </w:rPr>
              <w:t xml:space="preserve">银行转账   </w:t>
            </w:r>
            <w:r>
              <w:rPr>
                <w:rFonts w:hint="eastAsia" w:ascii="宋体" w:hAnsi="宋体" w:eastAsia="宋体" w:cs="宋体"/>
                <w:kern w:val="0"/>
                <w:sz w:val="24"/>
                <w:szCs w:val="24"/>
                <w:highlight w:val="none"/>
              </w:rPr>
              <w:sym w:font="Wingdings 2" w:char="F0A3"/>
            </w:r>
            <w:r>
              <w:rPr>
                <w:rFonts w:hint="eastAsia" w:ascii="宋体" w:hAnsi="宋体" w:eastAsia="宋体" w:cs="宋体"/>
                <w:bCs/>
                <w:sz w:val="24"/>
                <w:szCs w:val="24"/>
                <w:highlight w:val="none"/>
              </w:rPr>
              <w:t>5、现金支票</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sym w:font="Wingdings 2" w:char="F0A3"/>
            </w:r>
            <w:r>
              <w:rPr>
                <w:rFonts w:hint="eastAsia" w:ascii="宋体" w:hAnsi="宋体" w:eastAsia="宋体" w:cs="宋体"/>
                <w:bCs/>
                <w:sz w:val="24"/>
                <w:szCs w:val="24"/>
                <w:highlight w:val="none"/>
              </w:rPr>
              <w:t>6、工程保证保险保单</w:t>
            </w:r>
          </w:p>
          <w:p w14:paraId="6C69A8F8">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sym w:font="Wingdings 2" w:char="00A3"/>
            </w:r>
            <w:r>
              <w:rPr>
                <w:rFonts w:hint="eastAsia" w:ascii="宋体" w:hAnsi="宋体" w:eastAsia="宋体" w:cs="宋体"/>
                <w:kern w:val="0"/>
                <w:sz w:val="24"/>
                <w:szCs w:val="24"/>
                <w:highlight w:val="none"/>
              </w:rPr>
              <w:t>其它形式：</w:t>
            </w:r>
            <w:r>
              <w:rPr>
                <w:rFonts w:hint="eastAsia" w:ascii="宋体" w:hAnsi="宋体" w:eastAsia="宋体" w:cs="宋体"/>
                <w:kern w:val="0"/>
                <w:sz w:val="24"/>
                <w:szCs w:val="24"/>
                <w:highlight w:val="none"/>
                <w:u w:val="single"/>
              </w:rPr>
              <w:t xml:space="preserve">        </w:t>
            </w:r>
          </w:p>
          <w:p w14:paraId="6A199C42">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保证数额：</w:t>
            </w:r>
            <w:bookmarkStart w:id="84" w:name="blank_t38_1"/>
            <w:r>
              <w:rPr>
                <w:rFonts w:hint="eastAsia" w:ascii="宋体" w:hAnsi="宋体" w:eastAsia="宋体" w:cs="宋体"/>
                <w:kern w:val="0"/>
                <w:sz w:val="24"/>
                <w:szCs w:val="24"/>
                <w:highlight w:val="none"/>
                <w:u w:val="single"/>
              </w:rPr>
              <w:t xml:space="preserve"> 合同价的8% </w:t>
            </w:r>
            <w:bookmarkEnd w:id="84"/>
          </w:p>
          <w:p w14:paraId="19A49A55">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提交时限：</w:t>
            </w:r>
            <w:r>
              <w:rPr>
                <w:rFonts w:hint="eastAsia" w:ascii="宋体" w:hAnsi="宋体" w:eastAsia="宋体" w:cs="宋体"/>
                <w:sz w:val="24"/>
                <w:szCs w:val="24"/>
                <w:highlight w:val="none"/>
                <w:u w:val="single"/>
              </w:rPr>
              <w:t>自双方签订合同生效之日起至竣工验收合格之日。履约担保于发包人签发工程竣工验收报告后可向发包人申请办理退还（不计息）。</w:t>
            </w:r>
          </w:p>
          <w:p w14:paraId="69231BE7">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u w:val="single"/>
              </w:rPr>
            </w:pPr>
            <w:r>
              <w:rPr>
                <w:rFonts w:hint="eastAsia" w:ascii="宋体" w:hAnsi="宋体" w:eastAsia="宋体" w:cs="宋体"/>
                <w:bCs/>
                <w:kern w:val="0"/>
                <w:sz w:val="24"/>
                <w:szCs w:val="24"/>
                <w:highlight w:val="none"/>
              </w:rPr>
              <w:t>履约担保的退回及担保期限：</w:t>
            </w:r>
            <w:r>
              <w:rPr>
                <w:rFonts w:hint="eastAsia" w:ascii="宋体" w:hAnsi="宋体" w:eastAsia="宋体" w:cs="宋体"/>
                <w:sz w:val="24"/>
                <w:szCs w:val="24"/>
                <w:highlight w:val="none"/>
                <w:u w:val="single"/>
              </w:rPr>
              <w:t>签订施工合同后15日内，承包人必须把履约担保汇入发包人指定的银行账户，否则按中标人自动放弃中标资格处理。如采用银行保函或专业担保公司保函形式，以发包人需要为准</w:t>
            </w:r>
            <w:r>
              <w:rPr>
                <w:rFonts w:hint="eastAsia" w:ascii="宋体" w:hAnsi="宋体" w:eastAsia="宋体" w:cs="宋体"/>
                <w:bCs/>
                <w:kern w:val="0"/>
                <w:sz w:val="24"/>
                <w:szCs w:val="24"/>
                <w:highlight w:val="none"/>
                <w:u w:val="single"/>
              </w:rPr>
              <w:t>。</w:t>
            </w:r>
          </w:p>
          <w:p w14:paraId="50A24A7D">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其他关于履约担保约定详见合同条款。</w:t>
            </w:r>
          </w:p>
        </w:tc>
      </w:tr>
      <w:tr w14:paraId="75F27D9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jc w:val="center"/>
        </w:trPr>
        <w:tc>
          <w:tcPr>
            <w:tcW w:w="709" w:type="dxa"/>
            <w:tcBorders>
              <w:top w:val="single" w:color="auto" w:sz="6" w:space="0"/>
              <w:left w:val="single" w:color="auto" w:sz="6" w:space="0"/>
              <w:bottom w:val="single" w:color="auto" w:sz="6" w:space="0"/>
              <w:right w:val="single" w:color="auto" w:sz="6" w:space="0"/>
            </w:tcBorders>
            <w:vAlign w:val="center"/>
          </w:tcPr>
          <w:p w14:paraId="0969049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40</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1ECF26E6">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合同文本</w:t>
            </w:r>
          </w:p>
        </w:tc>
        <w:tc>
          <w:tcPr>
            <w:tcW w:w="6798" w:type="dxa"/>
            <w:tcBorders>
              <w:top w:val="single" w:color="auto" w:sz="6" w:space="0"/>
              <w:left w:val="single" w:color="auto" w:sz="6" w:space="0"/>
              <w:bottom w:val="single" w:color="auto" w:sz="6" w:space="0"/>
              <w:right w:val="single" w:color="auto" w:sz="6" w:space="0"/>
            </w:tcBorders>
          </w:tcPr>
          <w:p w14:paraId="43FD61C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使用住建部、国家工商行政管理局监制的GF-2017-0201《建设工程施工合同》（示范文本）</w:t>
            </w:r>
          </w:p>
          <w:p w14:paraId="5C5CE0C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Style w:val="64"/>
                <w:rFonts w:hint="eastAsia" w:ascii="宋体" w:hAnsi="宋体" w:eastAsia="宋体" w:cs="宋体"/>
                <w:b w:val="0"/>
                <w:sz w:val="24"/>
                <w:szCs w:val="24"/>
                <w:highlight w:val="none"/>
              </w:rPr>
              <w:t>其它说明：</w:t>
            </w:r>
            <w:r>
              <w:rPr>
                <w:rStyle w:val="64"/>
                <w:rFonts w:hint="eastAsia" w:ascii="宋体" w:hAnsi="宋体" w:eastAsia="宋体" w:cs="宋体"/>
                <w:b w:val="0"/>
                <w:sz w:val="24"/>
                <w:szCs w:val="24"/>
                <w:highlight w:val="none"/>
                <w:u w:val="single"/>
              </w:rPr>
              <w:t xml:space="preserve">          </w:t>
            </w:r>
          </w:p>
        </w:tc>
      </w:tr>
      <w:tr w14:paraId="18E2126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jc w:val="center"/>
        </w:trPr>
        <w:tc>
          <w:tcPr>
            <w:tcW w:w="709" w:type="dxa"/>
            <w:tcBorders>
              <w:top w:val="single" w:color="auto" w:sz="6" w:space="0"/>
              <w:left w:val="single" w:color="auto" w:sz="6" w:space="0"/>
              <w:bottom w:val="single" w:color="auto" w:sz="4" w:space="0"/>
              <w:right w:val="single" w:color="auto" w:sz="6" w:space="0"/>
            </w:tcBorders>
            <w:vAlign w:val="center"/>
          </w:tcPr>
          <w:p w14:paraId="12716D04">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41</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684D86BB">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施工奖罚</w:t>
            </w:r>
          </w:p>
          <w:p w14:paraId="5D589D4A">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6798" w:type="dxa"/>
            <w:tcBorders>
              <w:top w:val="single" w:color="auto" w:sz="6" w:space="0"/>
              <w:left w:val="single" w:color="auto" w:sz="6" w:space="0"/>
              <w:bottom w:val="single" w:color="auto" w:sz="4" w:space="0"/>
              <w:right w:val="single" w:color="auto" w:sz="6" w:space="0"/>
            </w:tcBorders>
          </w:tcPr>
          <w:p w14:paraId="26AA33C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施工安全奖惩：</w:t>
            </w:r>
            <w:bookmarkStart w:id="85" w:name="op1_t41_1"/>
            <w:r>
              <w:rPr>
                <w:rFonts w:hint="eastAsia" w:ascii="宋体" w:hAnsi="宋体" w:eastAsia="宋体" w:cs="宋体"/>
                <w:sz w:val="24"/>
                <w:szCs w:val="24"/>
                <w:highlight w:val="none"/>
              </w:rPr>
              <w:sym w:font="Wingdings 2" w:char="F0A3"/>
            </w:r>
            <w:bookmarkEnd w:id="85"/>
            <w:r>
              <w:rPr>
                <w:rFonts w:hint="eastAsia" w:ascii="宋体" w:hAnsi="宋体" w:eastAsia="宋体" w:cs="宋体"/>
                <w:sz w:val="24"/>
                <w:szCs w:val="24"/>
                <w:highlight w:val="none"/>
              </w:rPr>
              <w:t xml:space="preserve">无责任事故，奖 </w:t>
            </w:r>
            <w:bookmarkStart w:id="86" w:name="blank_t41_1"/>
            <w:r>
              <w:rPr>
                <w:rFonts w:hint="eastAsia" w:ascii="宋体" w:hAnsi="宋体" w:eastAsia="宋体" w:cs="宋体"/>
                <w:sz w:val="24"/>
                <w:szCs w:val="24"/>
                <w:highlight w:val="none"/>
                <w:u w:val="single"/>
              </w:rPr>
              <w:t xml:space="preserve">        </w:t>
            </w:r>
            <w:bookmarkEnd w:id="86"/>
            <w:r>
              <w:rPr>
                <w:rFonts w:hint="eastAsia" w:ascii="宋体" w:hAnsi="宋体" w:eastAsia="宋体" w:cs="宋体"/>
                <w:sz w:val="24"/>
                <w:szCs w:val="24"/>
                <w:highlight w:val="none"/>
              </w:rPr>
              <w:t>万元；</w:t>
            </w:r>
          </w:p>
          <w:p w14:paraId="549B506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87" w:name="op1_t41_2"/>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F0A3"/>
            </w:r>
            <w:bookmarkEnd w:id="87"/>
            <w:r>
              <w:rPr>
                <w:rFonts w:hint="eastAsia" w:ascii="宋体" w:hAnsi="宋体" w:eastAsia="宋体" w:cs="宋体"/>
                <w:sz w:val="24"/>
                <w:szCs w:val="24"/>
                <w:highlight w:val="none"/>
              </w:rPr>
              <w:t>获市安全生产文明施工样板工地奖，奖</w:t>
            </w:r>
            <w:bookmarkStart w:id="88" w:name="blank_t41_2"/>
            <w:r>
              <w:rPr>
                <w:rFonts w:hint="eastAsia" w:ascii="宋体" w:hAnsi="宋体" w:eastAsia="宋体" w:cs="宋体"/>
                <w:sz w:val="24"/>
                <w:szCs w:val="24"/>
                <w:highlight w:val="none"/>
                <w:u w:val="single"/>
              </w:rPr>
              <w:t xml:space="preserve">  </w:t>
            </w:r>
            <w:bookmarkEnd w:id="88"/>
            <w:r>
              <w:rPr>
                <w:rFonts w:hint="eastAsia" w:ascii="宋体" w:hAnsi="宋体" w:eastAsia="宋体" w:cs="宋体"/>
                <w:sz w:val="24"/>
                <w:szCs w:val="24"/>
                <w:highlight w:val="none"/>
              </w:rPr>
              <w:t>万元；</w:t>
            </w:r>
          </w:p>
          <w:p w14:paraId="0AA30BE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89" w:name="op1_t41_3"/>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F0A3"/>
            </w:r>
            <w:bookmarkEnd w:id="89"/>
            <w:r>
              <w:rPr>
                <w:rFonts w:hint="eastAsia" w:ascii="宋体" w:hAnsi="宋体" w:eastAsia="宋体" w:cs="宋体"/>
                <w:sz w:val="24"/>
                <w:szCs w:val="24"/>
                <w:highlight w:val="none"/>
              </w:rPr>
              <w:t>获广东省安全生产文明施工样板工地奖，奖</w:t>
            </w:r>
            <w:bookmarkStart w:id="90" w:name="blank_t41_3"/>
            <w:r>
              <w:rPr>
                <w:rFonts w:hint="eastAsia" w:ascii="宋体" w:hAnsi="宋体" w:eastAsia="宋体" w:cs="宋体"/>
                <w:sz w:val="24"/>
                <w:szCs w:val="24"/>
                <w:highlight w:val="none"/>
                <w:u w:val="single"/>
              </w:rPr>
              <w:t xml:space="preserve">      </w:t>
            </w:r>
            <w:bookmarkEnd w:id="90"/>
            <w:r>
              <w:rPr>
                <w:rFonts w:hint="eastAsia" w:ascii="宋体" w:hAnsi="宋体" w:eastAsia="宋体" w:cs="宋体"/>
                <w:sz w:val="24"/>
                <w:szCs w:val="24"/>
                <w:highlight w:val="none"/>
              </w:rPr>
              <w:t>万元。</w:t>
            </w:r>
          </w:p>
          <w:p w14:paraId="66C9CE0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91" w:name="op1_t41_4"/>
            <w:r>
              <w:rPr>
                <w:rFonts w:hint="eastAsia" w:ascii="宋体" w:hAnsi="宋体" w:eastAsia="宋体" w:cs="宋体"/>
                <w:sz w:val="24"/>
                <w:szCs w:val="24"/>
                <w:highlight w:val="none"/>
              </w:rPr>
              <w:sym w:font="Wingdings 2" w:char="F0A3"/>
            </w:r>
            <w:bookmarkEnd w:id="91"/>
            <w:r>
              <w:rPr>
                <w:rFonts w:hint="eastAsia" w:ascii="宋体" w:hAnsi="宋体" w:eastAsia="宋体" w:cs="宋体"/>
                <w:sz w:val="24"/>
                <w:szCs w:val="24"/>
                <w:highlight w:val="none"/>
              </w:rPr>
              <w:t>一般责任事故，罚</w:t>
            </w:r>
            <w:bookmarkStart w:id="92" w:name="blank_t41_4"/>
            <w:r>
              <w:rPr>
                <w:rFonts w:hint="eastAsia" w:ascii="宋体" w:hAnsi="宋体" w:eastAsia="宋体" w:cs="宋体"/>
                <w:sz w:val="24"/>
                <w:szCs w:val="24"/>
                <w:highlight w:val="none"/>
                <w:u w:val="single"/>
              </w:rPr>
              <w:t xml:space="preserve">    </w:t>
            </w:r>
            <w:bookmarkEnd w:id="92"/>
            <w:r>
              <w:rPr>
                <w:rFonts w:hint="eastAsia" w:ascii="宋体" w:hAnsi="宋体" w:eastAsia="宋体" w:cs="宋体"/>
                <w:sz w:val="24"/>
                <w:szCs w:val="24"/>
                <w:highlight w:val="none"/>
              </w:rPr>
              <w:t xml:space="preserve">万元。                           </w:t>
            </w:r>
            <w:bookmarkStart w:id="93" w:name="op1_t41_5"/>
          </w:p>
          <w:p w14:paraId="1E700A7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93"/>
            <w:r>
              <w:rPr>
                <w:rFonts w:hint="eastAsia" w:ascii="宋体" w:hAnsi="宋体" w:eastAsia="宋体" w:cs="宋体"/>
                <w:sz w:val="24"/>
                <w:szCs w:val="24"/>
                <w:highlight w:val="none"/>
              </w:rPr>
              <w:t>重大责任事故，罚</w:t>
            </w:r>
            <w:bookmarkStart w:id="94" w:name="blank_t41_5"/>
            <w:r>
              <w:rPr>
                <w:rFonts w:hint="eastAsia" w:ascii="宋体" w:hAnsi="宋体" w:eastAsia="宋体" w:cs="宋体"/>
                <w:sz w:val="24"/>
                <w:szCs w:val="24"/>
                <w:highlight w:val="none"/>
                <w:u w:val="single"/>
              </w:rPr>
              <w:t xml:space="preserve">    </w:t>
            </w:r>
            <w:bookmarkEnd w:id="94"/>
            <w:r>
              <w:rPr>
                <w:rFonts w:hint="eastAsia" w:ascii="宋体" w:hAnsi="宋体" w:eastAsia="宋体" w:cs="宋体"/>
                <w:sz w:val="24"/>
                <w:szCs w:val="24"/>
                <w:highlight w:val="none"/>
              </w:rPr>
              <w:t>万元。</w:t>
            </w:r>
          </w:p>
          <w:p w14:paraId="59217DA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施工质量奖惩：</w:t>
            </w:r>
            <w:bookmarkStart w:id="95" w:name="op1_t41_6"/>
            <w:r>
              <w:rPr>
                <w:rFonts w:hint="eastAsia" w:ascii="宋体" w:hAnsi="宋体" w:eastAsia="宋体" w:cs="宋体"/>
                <w:sz w:val="24"/>
                <w:szCs w:val="24"/>
                <w:highlight w:val="none"/>
              </w:rPr>
              <w:sym w:font="Wingdings 2" w:char="F0A3"/>
            </w:r>
            <w:bookmarkEnd w:id="95"/>
            <w:r>
              <w:rPr>
                <w:rFonts w:hint="eastAsia" w:ascii="宋体" w:hAnsi="宋体" w:eastAsia="宋体" w:cs="宋体"/>
                <w:sz w:val="24"/>
                <w:szCs w:val="24"/>
                <w:highlight w:val="none"/>
              </w:rPr>
              <w:t>获国家部级和部以上级奖，奖</w:t>
            </w:r>
            <w:bookmarkStart w:id="96" w:name="blank_t41_6"/>
            <w:r>
              <w:rPr>
                <w:rFonts w:hint="eastAsia" w:ascii="宋体" w:hAnsi="宋体" w:eastAsia="宋体" w:cs="宋体"/>
                <w:sz w:val="24"/>
                <w:szCs w:val="24"/>
                <w:highlight w:val="none"/>
                <w:u w:val="single"/>
              </w:rPr>
              <w:t xml:space="preserve">         </w:t>
            </w:r>
            <w:bookmarkEnd w:id="96"/>
            <w:r>
              <w:rPr>
                <w:rFonts w:hint="eastAsia" w:ascii="宋体" w:hAnsi="宋体" w:eastAsia="宋体" w:cs="宋体"/>
                <w:sz w:val="24"/>
                <w:szCs w:val="24"/>
                <w:highlight w:val="none"/>
              </w:rPr>
              <w:t>万元</w:t>
            </w:r>
          </w:p>
          <w:p w14:paraId="5D3572C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97" w:name="op1_t41_7"/>
            <w:r>
              <w:rPr>
                <w:rFonts w:hint="eastAsia" w:ascii="宋体" w:hAnsi="宋体" w:eastAsia="宋体" w:cs="宋体"/>
                <w:sz w:val="24"/>
                <w:szCs w:val="24"/>
                <w:highlight w:val="none"/>
              </w:rPr>
              <w:sym w:font="Wingdings 2" w:char="F0A3"/>
            </w:r>
            <w:bookmarkEnd w:id="97"/>
            <w:r>
              <w:rPr>
                <w:rFonts w:hint="eastAsia" w:ascii="宋体" w:hAnsi="宋体" w:eastAsia="宋体" w:cs="宋体"/>
                <w:sz w:val="24"/>
                <w:szCs w:val="24"/>
                <w:highlight w:val="none"/>
              </w:rPr>
              <w:t>获广东省优良样板工程奖，奖</w:t>
            </w:r>
            <w:bookmarkStart w:id="98" w:name="blank_t41_7"/>
            <w:r>
              <w:rPr>
                <w:rFonts w:hint="eastAsia" w:ascii="宋体" w:hAnsi="宋体" w:eastAsia="宋体" w:cs="宋体"/>
                <w:sz w:val="24"/>
                <w:szCs w:val="24"/>
                <w:highlight w:val="none"/>
                <w:u w:val="single"/>
              </w:rPr>
              <w:t xml:space="preserve">        </w:t>
            </w:r>
            <w:bookmarkEnd w:id="98"/>
            <w:r>
              <w:rPr>
                <w:rFonts w:hint="eastAsia" w:ascii="宋体" w:hAnsi="宋体" w:eastAsia="宋体" w:cs="宋体"/>
                <w:sz w:val="24"/>
                <w:szCs w:val="24"/>
                <w:highlight w:val="none"/>
              </w:rPr>
              <w:t>万元。</w:t>
            </w:r>
          </w:p>
          <w:p w14:paraId="2150BC7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99" w:name="op1_t41_8"/>
            <w:r>
              <w:rPr>
                <w:rFonts w:hint="eastAsia" w:ascii="宋体" w:hAnsi="宋体" w:eastAsia="宋体" w:cs="宋体"/>
                <w:sz w:val="24"/>
                <w:szCs w:val="24"/>
                <w:highlight w:val="none"/>
              </w:rPr>
              <w:sym w:font="Wingdings 2" w:char="F0A3"/>
            </w:r>
            <w:bookmarkEnd w:id="99"/>
            <w:r>
              <w:rPr>
                <w:rFonts w:hint="eastAsia" w:ascii="宋体" w:hAnsi="宋体" w:eastAsia="宋体" w:cs="宋体"/>
                <w:sz w:val="24"/>
                <w:szCs w:val="24"/>
                <w:highlight w:val="none"/>
              </w:rPr>
              <w:t>获市优良样板工程奖，奖</w:t>
            </w:r>
            <w:bookmarkStart w:id="100" w:name="blank_t41_8"/>
            <w:r>
              <w:rPr>
                <w:rFonts w:hint="eastAsia" w:ascii="宋体" w:hAnsi="宋体" w:eastAsia="宋体" w:cs="宋体"/>
                <w:sz w:val="24"/>
                <w:szCs w:val="24"/>
                <w:highlight w:val="none"/>
                <w:u w:val="single"/>
              </w:rPr>
              <w:t xml:space="preserve">        </w:t>
            </w:r>
            <w:bookmarkEnd w:id="100"/>
            <w:r>
              <w:rPr>
                <w:rFonts w:hint="eastAsia" w:ascii="宋体" w:hAnsi="宋体" w:eastAsia="宋体" w:cs="宋体"/>
                <w:sz w:val="24"/>
                <w:szCs w:val="24"/>
                <w:highlight w:val="none"/>
              </w:rPr>
              <w:t>万元。</w:t>
            </w:r>
          </w:p>
          <w:p w14:paraId="78BD462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施工进度奖惩：</w:t>
            </w:r>
            <w:bookmarkStart w:id="101" w:name="op1_t41_9"/>
          </w:p>
          <w:p w14:paraId="54BF0FC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101"/>
            <w:r>
              <w:rPr>
                <w:rFonts w:hint="eastAsia" w:ascii="宋体" w:hAnsi="宋体" w:eastAsia="宋体" w:cs="宋体"/>
                <w:sz w:val="24"/>
                <w:szCs w:val="24"/>
                <w:highlight w:val="none"/>
              </w:rPr>
              <w:t>竣工验收交付使用每提前</w:t>
            </w:r>
            <w:bookmarkStart w:id="102" w:name="blank_t41_9"/>
            <w:r>
              <w:rPr>
                <w:rFonts w:hint="eastAsia" w:ascii="宋体" w:hAnsi="宋体" w:eastAsia="宋体" w:cs="宋体"/>
                <w:sz w:val="24"/>
                <w:szCs w:val="24"/>
                <w:highlight w:val="none"/>
                <w:u w:val="single"/>
              </w:rPr>
              <w:t xml:space="preserve">      </w:t>
            </w:r>
            <w:bookmarkEnd w:id="102"/>
            <w:r>
              <w:rPr>
                <w:rFonts w:hint="eastAsia" w:ascii="宋体" w:hAnsi="宋体" w:eastAsia="宋体" w:cs="宋体"/>
                <w:sz w:val="24"/>
                <w:szCs w:val="24"/>
                <w:highlight w:val="none"/>
              </w:rPr>
              <w:t>天竣工，奖</w:t>
            </w:r>
            <w:bookmarkStart w:id="103" w:name="blank_t41_10"/>
            <w:r>
              <w:rPr>
                <w:rFonts w:hint="eastAsia" w:ascii="宋体" w:hAnsi="宋体" w:eastAsia="宋体" w:cs="宋体"/>
                <w:sz w:val="24"/>
                <w:szCs w:val="24"/>
                <w:highlight w:val="none"/>
                <w:u w:val="single"/>
              </w:rPr>
              <w:t xml:space="preserve">       </w:t>
            </w:r>
            <w:bookmarkEnd w:id="103"/>
            <w:r>
              <w:rPr>
                <w:rFonts w:hint="eastAsia" w:ascii="宋体" w:hAnsi="宋体" w:eastAsia="宋体" w:cs="宋体"/>
                <w:sz w:val="24"/>
                <w:szCs w:val="24"/>
                <w:highlight w:val="none"/>
              </w:rPr>
              <w:t xml:space="preserve">万元 。 </w:t>
            </w:r>
          </w:p>
          <w:p w14:paraId="16FD4E1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按施工合同期约定每延误 </w:t>
            </w:r>
            <w:bookmarkStart w:id="104" w:name="blank_t41_11"/>
            <w:r>
              <w:rPr>
                <w:rFonts w:hint="eastAsia" w:ascii="宋体" w:hAnsi="宋体" w:eastAsia="宋体" w:cs="宋体"/>
                <w:sz w:val="24"/>
                <w:szCs w:val="24"/>
                <w:highlight w:val="none"/>
                <w:u w:val="single"/>
              </w:rPr>
              <w:t xml:space="preserve">  1  </w:t>
            </w:r>
            <w:bookmarkEnd w:id="104"/>
            <w:r>
              <w:rPr>
                <w:rFonts w:hint="eastAsia" w:ascii="宋体" w:hAnsi="宋体" w:eastAsia="宋体" w:cs="宋体"/>
                <w:sz w:val="24"/>
                <w:szCs w:val="24"/>
                <w:highlight w:val="none"/>
              </w:rPr>
              <w:t>天竣工，罚</w:t>
            </w:r>
            <w:bookmarkStart w:id="105" w:name="blank_t41_12"/>
            <w:r>
              <w:rPr>
                <w:rFonts w:hint="eastAsia" w:ascii="宋体" w:hAnsi="宋体" w:eastAsia="宋体" w:cs="宋体"/>
                <w:sz w:val="24"/>
                <w:szCs w:val="24"/>
                <w:highlight w:val="none"/>
                <w:u w:val="single"/>
              </w:rPr>
              <w:t xml:space="preserve"> 0.</w:t>
            </w:r>
            <w:bookmarkEnd w:id="105"/>
            <w:r>
              <w:rPr>
                <w:rFonts w:hint="eastAsia" w:ascii="宋体" w:hAnsi="宋体" w:eastAsia="宋体" w:cs="宋体"/>
                <w:sz w:val="24"/>
                <w:szCs w:val="24"/>
                <w:highlight w:val="none"/>
                <w:u w:val="single"/>
              </w:rPr>
              <w:t xml:space="preserve">1 </w:t>
            </w:r>
            <w:r>
              <w:rPr>
                <w:rFonts w:hint="eastAsia" w:ascii="宋体" w:hAnsi="宋体" w:eastAsia="宋体" w:cs="宋体"/>
                <w:sz w:val="24"/>
                <w:szCs w:val="24"/>
                <w:highlight w:val="none"/>
              </w:rPr>
              <w:t xml:space="preserve">万元。       </w:t>
            </w:r>
          </w:p>
          <w:p w14:paraId="428B804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106" w:name="op1_t41_11"/>
            <w:r>
              <w:rPr>
                <w:rFonts w:hint="eastAsia" w:ascii="宋体" w:hAnsi="宋体" w:eastAsia="宋体" w:cs="宋体"/>
                <w:sz w:val="24"/>
                <w:szCs w:val="24"/>
                <w:highlight w:val="none"/>
              </w:rPr>
              <w:sym w:font="Wingdings 2" w:char="F0A3"/>
            </w:r>
            <w:bookmarkEnd w:id="106"/>
            <w:r>
              <w:rPr>
                <w:rFonts w:hint="eastAsia" w:ascii="宋体" w:hAnsi="宋体" w:eastAsia="宋体" w:cs="宋体"/>
                <w:sz w:val="24"/>
                <w:szCs w:val="24"/>
                <w:highlight w:val="none"/>
              </w:rPr>
              <w:t>按施工合同期计第</w:t>
            </w:r>
            <w:bookmarkStart w:id="107" w:name="blank_t41_13"/>
            <w:r>
              <w:rPr>
                <w:rFonts w:hint="eastAsia" w:ascii="宋体" w:hAnsi="宋体" w:eastAsia="宋体" w:cs="宋体"/>
                <w:sz w:val="24"/>
                <w:szCs w:val="24"/>
                <w:highlight w:val="none"/>
                <w:u w:val="single"/>
              </w:rPr>
              <w:t xml:space="preserve">  </w:t>
            </w:r>
            <w:bookmarkEnd w:id="107"/>
            <w:r>
              <w:rPr>
                <w:rFonts w:hint="eastAsia" w:ascii="宋体" w:hAnsi="宋体" w:eastAsia="宋体" w:cs="宋体"/>
                <w:sz w:val="24"/>
                <w:szCs w:val="24"/>
                <w:highlight w:val="none"/>
              </w:rPr>
              <w:t>天起每延误</w:t>
            </w:r>
            <w:bookmarkStart w:id="108" w:name="blank_t41_14"/>
            <w:r>
              <w:rPr>
                <w:rFonts w:hint="eastAsia" w:ascii="宋体" w:hAnsi="宋体" w:eastAsia="宋体" w:cs="宋体"/>
                <w:sz w:val="24"/>
                <w:szCs w:val="24"/>
                <w:highlight w:val="none"/>
                <w:u w:val="single"/>
              </w:rPr>
              <w:t xml:space="preserve">   </w:t>
            </w:r>
            <w:bookmarkEnd w:id="108"/>
            <w:r>
              <w:rPr>
                <w:rFonts w:hint="eastAsia" w:ascii="宋体" w:hAnsi="宋体" w:eastAsia="宋体" w:cs="宋体"/>
                <w:sz w:val="24"/>
                <w:szCs w:val="24"/>
                <w:highlight w:val="none"/>
              </w:rPr>
              <w:t>天竣工，罚</w:t>
            </w:r>
            <w:bookmarkStart w:id="109" w:name="blank_t41_15"/>
            <w:r>
              <w:rPr>
                <w:rFonts w:hint="eastAsia" w:ascii="宋体" w:hAnsi="宋体" w:eastAsia="宋体" w:cs="宋体"/>
                <w:sz w:val="24"/>
                <w:szCs w:val="24"/>
                <w:highlight w:val="none"/>
                <w:u w:val="single"/>
              </w:rPr>
              <w:t xml:space="preserve">    </w:t>
            </w:r>
            <w:bookmarkEnd w:id="109"/>
            <w:r>
              <w:rPr>
                <w:rFonts w:hint="eastAsia" w:ascii="宋体" w:hAnsi="宋体" w:eastAsia="宋体" w:cs="宋体"/>
                <w:sz w:val="24"/>
                <w:szCs w:val="24"/>
                <w:highlight w:val="none"/>
              </w:rPr>
              <w:t>万元。</w:t>
            </w:r>
            <w:r>
              <w:rPr>
                <w:rFonts w:hint="eastAsia" w:ascii="宋体" w:hAnsi="宋体" w:eastAsia="宋体" w:cs="宋体"/>
                <w:b/>
                <w:bCs/>
                <w:sz w:val="24"/>
                <w:szCs w:val="24"/>
                <w:highlight w:val="none"/>
              </w:rPr>
              <w:t xml:space="preserve"> </w:t>
            </w:r>
          </w:p>
          <w:p w14:paraId="2CCC7F6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其它规定：以上罚款在工程款中扣除。</w:t>
            </w:r>
          </w:p>
        </w:tc>
      </w:tr>
      <w:tr w14:paraId="2B361EC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2FEBEA08">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1B85F01">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重新组织招标的情形</w:t>
            </w:r>
          </w:p>
        </w:tc>
        <w:tc>
          <w:tcPr>
            <w:tcW w:w="6798" w:type="dxa"/>
            <w:tcBorders>
              <w:top w:val="single" w:color="auto" w:sz="6" w:space="0"/>
              <w:left w:val="single" w:color="auto" w:sz="6" w:space="0"/>
              <w:bottom w:val="single" w:color="auto" w:sz="6" w:space="0"/>
              <w:right w:val="single" w:color="auto" w:sz="6" w:space="0"/>
            </w:tcBorders>
          </w:tcPr>
          <w:p w14:paraId="7329AA6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出现以下情况之一的，招标人将重新选取承包人：</w:t>
            </w:r>
          </w:p>
          <w:p w14:paraId="21A30C7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因承包人原因中标人被取消中选资格的。</w:t>
            </w:r>
          </w:p>
          <w:p w14:paraId="6169B10F">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其它说明：本次招标在投标截止时间止递交有效投标文件的投标人或通过初步审查的合格投标人不足3人时。</w:t>
            </w:r>
          </w:p>
        </w:tc>
      </w:tr>
      <w:tr w14:paraId="78EE8D2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25F4332">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7F7F2C7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其他事项</w:t>
            </w:r>
          </w:p>
        </w:tc>
        <w:tc>
          <w:tcPr>
            <w:tcW w:w="6798" w:type="dxa"/>
            <w:tcBorders>
              <w:top w:val="single" w:color="auto" w:sz="6" w:space="0"/>
              <w:left w:val="single" w:color="auto" w:sz="6" w:space="0"/>
              <w:bottom w:val="single" w:color="auto" w:sz="6" w:space="0"/>
              <w:right w:val="single" w:color="auto" w:sz="6" w:space="0"/>
            </w:tcBorders>
          </w:tcPr>
          <w:p w14:paraId="4584EB1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一、关于投标文件撤回及修改</w:t>
            </w:r>
          </w:p>
          <w:p w14:paraId="1097762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投标人递交投标文件后，可于投标截止之前撤回或撤回并修改其投标文件。投标截止之后至投标有效期终止之前，投标人将不能撤回或修改投标文件。</w:t>
            </w:r>
          </w:p>
          <w:p w14:paraId="0861279D">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二、废标条款:</w:t>
            </w:r>
          </w:p>
          <w:p w14:paraId="7B428547">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（1）不符合本项目的</w:t>
            </w:r>
            <w:r>
              <w:rPr>
                <w:rFonts w:hint="eastAsia" w:ascii="宋体" w:hAnsi="宋体" w:eastAsia="宋体" w:cs="宋体"/>
                <w:bCs/>
                <w:sz w:val="24"/>
                <w:szCs w:val="24"/>
                <w:highlight w:val="none"/>
              </w:rPr>
              <w:t>投标人</w:t>
            </w:r>
            <w:r>
              <w:rPr>
                <w:rFonts w:hint="eastAsia" w:ascii="宋体" w:hAnsi="宋体" w:eastAsia="宋体" w:cs="宋体"/>
                <w:bCs/>
                <w:kern w:val="0"/>
                <w:sz w:val="24"/>
                <w:szCs w:val="24"/>
                <w:highlight w:val="none"/>
              </w:rPr>
              <w:t>资格要求。</w:t>
            </w:r>
          </w:p>
          <w:p w14:paraId="360849F4">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（2）投标工程量清单的清单编码、名称、项目特征、单位、工程量未按规定的内容、数量填报与招投标系统中所提供招标清单格式不一致的，按废标处理。（适用于采用工程量清单报价形式的项目）</w:t>
            </w:r>
          </w:p>
          <w:p w14:paraId="7779E36E">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（3）投标总价（或投标费率）超出投标最高限价（投标费率最高限价）。</w:t>
            </w:r>
          </w:p>
          <w:p w14:paraId="6C5CA778">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（4）投标文件中需签字、盖章的，投标人没按要求由投标人法定代表人或其委托代理人签字（或盖章）并加盖投标人公章。由委托代理人签字的，投标文件没附法定代表人签署的授权委托书。</w:t>
            </w:r>
          </w:p>
          <w:p w14:paraId="659E9B24">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（5）其它情形：</w:t>
            </w:r>
            <w:r>
              <w:rPr>
                <w:rFonts w:hint="eastAsia" w:ascii="宋体" w:hAnsi="宋体" w:eastAsia="宋体" w:cs="宋体"/>
                <w:bCs/>
                <w:kern w:val="0"/>
                <w:sz w:val="24"/>
                <w:szCs w:val="24"/>
                <w:highlight w:val="none"/>
                <w:u w:val="single"/>
              </w:rPr>
              <w:t>投标人不响应本招标文件的其他规定。</w:t>
            </w:r>
          </w:p>
          <w:p w14:paraId="49FDD5C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三、关于取消中选资格</w:t>
            </w:r>
          </w:p>
          <w:p w14:paraId="1D7A07A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1、招标人若查实承包商存在下列行为之一，将取消其中选资格：</w:t>
            </w:r>
          </w:p>
          <w:p w14:paraId="18CE18FF">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（1）经查实弄虚作假或与其他承包商串通骗取中标；</w:t>
            </w:r>
          </w:p>
          <w:p w14:paraId="7C3B544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（2）于投标有效期终止之前撤回投标文件；</w:t>
            </w:r>
          </w:p>
          <w:p w14:paraId="2AC7405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（3）因承包商过错而未能按照规定与招标人签订施工合同；</w:t>
            </w:r>
          </w:p>
          <w:p w14:paraId="372DA3B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（4）因承包商过错而未能按照规定向招标人提交履约担保；</w:t>
            </w:r>
          </w:p>
          <w:p w14:paraId="38A4A9C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（5）法律法规规定的其它明显损害招标人利益和社会公共利益的情形。</w:t>
            </w:r>
          </w:p>
          <w:p w14:paraId="1ABBB87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四、其他说明:</w:t>
            </w:r>
            <w:bookmarkStart w:id="110" w:name="blank_t46_1"/>
            <w:r>
              <w:rPr>
                <w:rFonts w:hint="eastAsia" w:ascii="宋体" w:hAnsi="宋体" w:eastAsia="宋体" w:cs="宋体"/>
                <w:sz w:val="24"/>
                <w:szCs w:val="24"/>
                <w:highlight w:val="none"/>
                <w:u w:val="single"/>
              </w:rPr>
              <w:t>_______</w:t>
            </w:r>
            <w:bookmarkEnd w:id="110"/>
          </w:p>
        </w:tc>
      </w:tr>
      <w:tr w14:paraId="04E7961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21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493BB13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0044C3E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签订合同</w:t>
            </w:r>
          </w:p>
        </w:tc>
        <w:tc>
          <w:tcPr>
            <w:tcW w:w="6798" w:type="dxa"/>
            <w:tcBorders>
              <w:top w:val="single" w:color="auto" w:sz="6" w:space="0"/>
              <w:left w:val="single" w:color="auto" w:sz="6" w:space="0"/>
              <w:bottom w:val="single" w:color="auto" w:sz="6" w:space="0"/>
              <w:right w:val="single" w:color="auto" w:sz="6" w:space="0"/>
            </w:tcBorders>
            <w:vAlign w:val="center"/>
          </w:tcPr>
          <w:p w14:paraId="743F291C">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招标人和中标人应当自中标通知书发出之日起30天内，根据招标文件和中标人的投标文件订立书面合同。中标人无正当理由拒签合同的，招标人取消其中标资格，中标人还应当对超过部分予以赔偿。</w:t>
            </w:r>
          </w:p>
        </w:tc>
      </w:tr>
      <w:tr w14:paraId="5D4B3BA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0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CD379DE">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57391BB2">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其他说明</w:t>
            </w:r>
          </w:p>
        </w:tc>
        <w:tc>
          <w:tcPr>
            <w:tcW w:w="6798" w:type="dxa"/>
            <w:tcBorders>
              <w:top w:val="single" w:color="auto" w:sz="6" w:space="0"/>
              <w:left w:val="single" w:color="auto" w:sz="6" w:space="0"/>
              <w:bottom w:val="single" w:color="auto" w:sz="6" w:space="0"/>
              <w:right w:val="single" w:color="auto" w:sz="6" w:space="0"/>
            </w:tcBorders>
            <w:vAlign w:val="center"/>
          </w:tcPr>
          <w:p w14:paraId="0B97537D">
            <w:pPr>
              <w:pageBreakBefore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根据《佛山市住房和城乡建设局关于印发&lt;佛山市建筑施工安全生产责任保险实施办法&gt;的通知》及《佛山市南海区住房城乡建设和水利局关于建筑施工行业实施安全生产责任保险的通知》，招标人在编制工程项目预算（最高投标限价）时，已将建筑施工安责险保险费单独列入工程项目预算（最高投标限价）中，专款专用。中标人则须以项目为单位投保建筑施工安责险，保险费计算基数为工程项目合同造价，并按相关保险费率购买，超出的费用由中标人承担。</w:t>
            </w:r>
          </w:p>
          <w:p w14:paraId="4E4E67C8">
            <w:pPr>
              <w:numPr>
                <w:ilvl w:val="-1"/>
                <w:numId w:val="0"/>
              </w:numPr>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关于本工程建筑施工安全生产责任保险的计取，参照《佛山市南海区住房城乡建设和水利局关于建筑施工行业实施安全生产责任保险的通知》有关保险费率和保费计算方式，本项目</w:t>
            </w:r>
            <w:r>
              <w:rPr>
                <w:rFonts w:hint="eastAsia" w:ascii="宋体" w:hAnsi="宋体" w:eastAsia="宋体" w:cs="宋体"/>
                <w:sz w:val="24"/>
                <w:szCs w:val="24"/>
                <w:highlight w:val="none"/>
                <w:lang w:eastAsia="zh-CN"/>
              </w:rPr>
              <w:t>以房屋建筑工程的分部分项工程费为计算基础，基础费率为主险+附加险下限0.114%计算，工期系数为0.9，工程造价系数为1.1，单项工程最低保费为3000元，计入建筑与装饰部分</w:t>
            </w:r>
            <w:r>
              <w:rPr>
                <w:rFonts w:hint="eastAsia" w:ascii="宋体" w:hAnsi="宋体" w:eastAsia="宋体" w:cs="宋体"/>
                <w:sz w:val="24"/>
                <w:szCs w:val="24"/>
                <w:highlight w:val="none"/>
              </w:rPr>
              <w:t>，结算时按发票金额进行调整，但不超过本合同的安全生产责任保险费用。</w:t>
            </w:r>
          </w:p>
          <w:p w14:paraId="46CEA1F9">
            <w:pPr>
              <w:numPr>
                <w:ilvl w:val="-1"/>
                <w:numId w:val="0"/>
              </w:numPr>
              <w:adjustRightInd w:val="0"/>
              <w:snapToGrid w:val="0"/>
              <w:spacing w:line="360" w:lineRule="auto"/>
              <w:ind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2"/>
                <w:highlight w:val="none"/>
              </w:rPr>
              <w:t>本项目招标代理</w:t>
            </w:r>
            <w:r>
              <w:rPr>
                <w:rFonts w:hint="eastAsia" w:ascii="宋体" w:hAnsi="宋体" w:eastAsia="宋体" w:cs="宋体"/>
                <w:sz w:val="24"/>
                <w:szCs w:val="22"/>
                <w:highlight w:val="none"/>
                <w:lang w:val="en-US" w:eastAsia="zh-CN"/>
              </w:rPr>
              <w:t>服务费和专家评审费等相关费用</w:t>
            </w:r>
            <w:r>
              <w:rPr>
                <w:rFonts w:hint="eastAsia" w:ascii="宋体" w:hAnsi="宋体" w:eastAsia="宋体" w:cs="宋体"/>
                <w:sz w:val="24"/>
                <w:szCs w:val="22"/>
                <w:highlight w:val="none"/>
              </w:rPr>
              <w:t>由中标人支付，在领取中标通知书前向招标代理机构以银行转账方式一次性支付。参考国家发展改革委《招标代理服务收费管理暂行办法》（计价格[2002]1980号）及《国家发展改革委关于降低部分建设项目收费标准规范收费行为等有关问题的通知》（发改价格[2011]534号）规定收费标准的计取，以中标金额为计算基数</w:t>
            </w:r>
            <w:r>
              <w:rPr>
                <w:rFonts w:hint="eastAsia" w:ascii="宋体" w:hAnsi="宋体" w:eastAsia="宋体" w:cs="宋体"/>
                <w:sz w:val="24"/>
                <w:szCs w:val="22"/>
                <w:highlight w:val="none"/>
                <w:lang w:val="zh-CN"/>
              </w:rPr>
              <w:t>，招标代理服务收费采用差额定率累进计费方式，</w:t>
            </w:r>
            <w:r>
              <w:rPr>
                <w:rFonts w:hint="eastAsia" w:ascii="宋体" w:hAnsi="宋体" w:eastAsia="宋体" w:cs="宋体"/>
                <w:sz w:val="24"/>
                <w:szCs w:val="22"/>
                <w:highlight w:val="none"/>
                <w:lang w:val="en-US" w:eastAsia="zh-CN"/>
              </w:rPr>
              <w:t>专家评审费等相关费用按实际收取。</w:t>
            </w:r>
          </w:p>
        </w:tc>
      </w:tr>
    </w:tbl>
    <w:p w14:paraId="1A06146D">
      <w:pPr>
        <w:ind w:firstLine="372"/>
        <w:rPr>
          <w:highlight w:val="none"/>
        </w:rPr>
      </w:pPr>
    </w:p>
    <w:p w14:paraId="0B65B260">
      <w:pPr>
        <w:ind w:firstLine="569"/>
        <w:jc w:val="left"/>
        <w:rPr>
          <w:b/>
          <w:sz w:val="32"/>
          <w:szCs w:val="24"/>
          <w:highlight w:val="none"/>
        </w:rPr>
      </w:pPr>
      <w:r>
        <w:rPr>
          <w:rFonts w:hint="eastAsia"/>
          <w:b/>
          <w:sz w:val="32"/>
          <w:szCs w:val="24"/>
          <w:highlight w:val="none"/>
        </w:rPr>
        <w:br w:type="page"/>
      </w:r>
    </w:p>
    <w:p w14:paraId="6E7B0124">
      <w:pPr>
        <w:ind w:firstLine="637"/>
        <w:jc w:val="center"/>
        <w:rPr>
          <w:sz w:val="36"/>
          <w:highlight w:val="none"/>
        </w:rPr>
      </w:pPr>
    </w:p>
    <w:p w14:paraId="28A3B734">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第三部分 图纸及工程量清单</w:t>
      </w:r>
    </w:p>
    <w:p w14:paraId="4389334E">
      <w:pPr>
        <w:kinsoku w:val="0"/>
        <w:overflowPunct w:val="0"/>
        <w:autoSpaceDE w:val="0"/>
        <w:autoSpaceDN w:val="0"/>
        <w:adjustRightInd w:val="0"/>
        <w:spacing w:before="71"/>
        <w:ind w:firstLine="336"/>
        <w:jc w:val="center"/>
        <w:rPr>
          <w:rFonts w:ascii="宋体" w:hAnsi="Times New Roman" w:eastAsia="宋体" w:cs="宋体"/>
          <w:kern w:val="0"/>
          <w:sz w:val="19"/>
          <w:szCs w:val="19"/>
          <w:highlight w:val="none"/>
        </w:rPr>
      </w:pPr>
      <w:r>
        <w:rPr>
          <w:rFonts w:hint="eastAsia" w:ascii="宋体" w:hAnsi="Times New Roman" w:eastAsia="宋体" w:cs="宋体"/>
          <w:kern w:val="0"/>
          <w:sz w:val="19"/>
          <w:szCs w:val="19"/>
          <w:highlight w:val="none"/>
        </w:rPr>
        <w:t>详细见：已上传的图纸或者工程量清单文件为准。</w:t>
      </w:r>
    </w:p>
    <w:p w14:paraId="31B04CC6">
      <w:pPr>
        <w:ind w:firstLine="637"/>
        <w:jc w:val="center"/>
        <w:rPr>
          <w:sz w:val="36"/>
          <w:highlight w:val="none"/>
        </w:rPr>
      </w:pPr>
    </w:p>
    <w:p w14:paraId="54A8CD47">
      <w:pPr>
        <w:ind w:firstLine="637"/>
        <w:jc w:val="center"/>
        <w:rPr>
          <w:sz w:val="36"/>
          <w:highlight w:val="none"/>
        </w:rPr>
      </w:pPr>
    </w:p>
    <w:p w14:paraId="5531EA7D">
      <w:pPr>
        <w:ind w:firstLine="637"/>
        <w:jc w:val="center"/>
        <w:rPr>
          <w:sz w:val="36"/>
          <w:highlight w:val="none"/>
        </w:rPr>
      </w:pPr>
    </w:p>
    <w:p w14:paraId="3403C896">
      <w:pPr>
        <w:ind w:firstLine="637"/>
        <w:jc w:val="center"/>
        <w:rPr>
          <w:sz w:val="36"/>
          <w:highlight w:val="none"/>
        </w:rPr>
      </w:pPr>
    </w:p>
    <w:p w14:paraId="3ED4C1F4">
      <w:pPr>
        <w:ind w:firstLine="637"/>
        <w:jc w:val="center"/>
        <w:rPr>
          <w:sz w:val="36"/>
          <w:highlight w:val="none"/>
        </w:rPr>
      </w:pPr>
    </w:p>
    <w:p w14:paraId="5B9ED469">
      <w:pPr>
        <w:ind w:firstLine="637"/>
        <w:jc w:val="center"/>
        <w:rPr>
          <w:sz w:val="36"/>
          <w:highlight w:val="none"/>
        </w:rPr>
      </w:pPr>
    </w:p>
    <w:p w14:paraId="652D0230">
      <w:pPr>
        <w:ind w:firstLine="637"/>
        <w:jc w:val="center"/>
        <w:rPr>
          <w:sz w:val="36"/>
          <w:highlight w:val="none"/>
        </w:rPr>
      </w:pPr>
    </w:p>
    <w:p w14:paraId="79D998B2">
      <w:pPr>
        <w:ind w:firstLine="637"/>
        <w:jc w:val="center"/>
        <w:rPr>
          <w:sz w:val="36"/>
          <w:highlight w:val="none"/>
        </w:rPr>
      </w:pPr>
    </w:p>
    <w:p w14:paraId="075E7F8B">
      <w:pPr>
        <w:ind w:firstLine="637"/>
        <w:jc w:val="center"/>
        <w:rPr>
          <w:sz w:val="36"/>
          <w:highlight w:val="none"/>
        </w:rPr>
      </w:pPr>
    </w:p>
    <w:p w14:paraId="72032D86">
      <w:pPr>
        <w:ind w:firstLine="637"/>
        <w:jc w:val="center"/>
        <w:rPr>
          <w:sz w:val="36"/>
          <w:highlight w:val="none"/>
        </w:rPr>
      </w:pPr>
    </w:p>
    <w:p w14:paraId="70103D1C">
      <w:pPr>
        <w:ind w:firstLine="637"/>
        <w:jc w:val="center"/>
        <w:rPr>
          <w:sz w:val="36"/>
          <w:highlight w:val="none"/>
        </w:rPr>
      </w:pPr>
    </w:p>
    <w:p w14:paraId="5C8AC88B">
      <w:pPr>
        <w:ind w:firstLine="637"/>
        <w:jc w:val="center"/>
        <w:rPr>
          <w:sz w:val="36"/>
          <w:highlight w:val="none"/>
        </w:rPr>
      </w:pPr>
    </w:p>
    <w:p w14:paraId="065F4315">
      <w:pPr>
        <w:ind w:firstLine="637"/>
        <w:jc w:val="center"/>
        <w:rPr>
          <w:sz w:val="36"/>
          <w:highlight w:val="none"/>
        </w:rPr>
      </w:pPr>
    </w:p>
    <w:p w14:paraId="2C59AEC4">
      <w:pPr>
        <w:ind w:firstLine="637"/>
        <w:jc w:val="center"/>
        <w:rPr>
          <w:sz w:val="36"/>
          <w:highlight w:val="none"/>
        </w:rPr>
      </w:pPr>
    </w:p>
    <w:p w14:paraId="3172B350">
      <w:pPr>
        <w:ind w:firstLine="637"/>
        <w:jc w:val="center"/>
        <w:rPr>
          <w:sz w:val="36"/>
          <w:highlight w:val="none"/>
        </w:rPr>
      </w:pPr>
    </w:p>
    <w:p w14:paraId="0A3F0EB7">
      <w:pPr>
        <w:ind w:firstLine="637"/>
        <w:jc w:val="center"/>
        <w:rPr>
          <w:sz w:val="36"/>
          <w:highlight w:val="none"/>
        </w:rPr>
      </w:pPr>
    </w:p>
    <w:p w14:paraId="6F698B37">
      <w:pPr>
        <w:ind w:firstLine="637"/>
        <w:jc w:val="center"/>
        <w:rPr>
          <w:sz w:val="36"/>
          <w:highlight w:val="none"/>
        </w:rPr>
      </w:pPr>
    </w:p>
    <w:p w14:paraId="2CAFEBE2">
      <w:pPr>
        <w:ind w:firstLine="637"/>
        <w:jc w:val="center"/>
        <w:rPr>
          <w:sz w:val="36"/>
          <w:highlight w:val="none"/>
        </w:rPr>
      </w:pPr>
    </w:p>
    <w:p w14:paraId="3E0276A9">
      <w:pPr>
        <w:ind w:firstLine="637"/>
        <w:jc w:val="center"/>
        <w:rPr>
          <w:sz w:val="36"/>
          <w:highlight w:val="none"/>
        </w:rPr>
      </w:pPr>
    </w:p>
    <w:p w14:paraId="20A62084">
      <w:pPr>
        <w:ind w:firstLine="637"/>
        <w:jc w:val="center"/>
        <w:rPr>
          <w:sz w:val="36"/>
          <w:highlight w:val="none"/>
        </w:rPr>
      </w:pPr>
    </w:p>
    <w:p w14:paraId="497FA8AF">
      <w:pPr>
        <w:ind w:firstLine="637"/>
        <w:jc w:val="center"/>
        <w:rPr>
          <w:sz w:val="36"/>
          <w:highlight w:val="none"/>
        </w:rPr>
      </w:pPr>
    </w:p>
    <w:p w14:paraId="540CD4A5">
      <w:pPr>
        <w:ind w:firstLine="637"/>
        <w:jc w:val="center"/>
        <w:rPr>
          <w:sz w:val="36"/>
          <w:highlight w:val="none"/>
        </w:rPr>
      </w:pPr>
    </w:p>
    <w:p w14:paraId="369055BF">
      <w:pPr>
        <w:ind w:firstLine="637"/>
        <w:jc w:val="center"/>
        <w:rPr>
          <w:sz w:val="36"/>
          <w:highlight w:val="none"/>
        </w:rPr>
      </w:pPr>
    </w:p>
    <w:p w14:paraId="3E8E6E38">
      <w:pPr>
        <w:ind w:firstLine="637"/>
        <w:jc w:val="center"/>
        <w:rPr>
          <w:sz w:val="36"/>
          <w:highlight w:val="none"/>
        </w:rPr>
      </w:pPr>
    </w:p>
    <w:p w14:paraId="1B81451D">
      <w:pPr>
        <w:ind w:firstLine="637"/>
        <w:jc w:val="center"/>
        <w:rPr>
          <w:sz w:val="36"/>
          <w:highlight w:val="none"/>
        </w:rPr>
      </w:pPr>
    </w:p>
    <w:p w14:paraId="05FBB31E">
      <w:pPr>
        <w:ind w:firstLine="637"/>
        <w:jc w:val="center"/>
        <w:rPr>
          <w:sz w:val="36"/>
          <w:highlight w:val="none"/>
        </w:rPr>
      </w:pPr>
    </w:p>
    <w:p w14:paraId="51E7A754">
      <w:pPr>
        <w:ind w:firstLine="637"/>
        <w:jc w:val="center"/>
        <w:rPr>
          <w:sz w:val="36"/>
          <w:highlight w:val="none"/>
        </w:rPr>
      </w:pPr>
    </w:p>
    <w:p w14:paraId="6E8FC7D9">
      <w:pPr>
        <w:kinsoku w:val="0"/>
        <w:overflowPunct w:val="0"/>
        <w:autoSpaceDE w:val="0"/>
        <w:autoSpaceDN w:val="0"/>
        <w:adjustRightInd w:val="0"/>
        <w:spacing w:before="261"/>
        <w:ind w:left="850" w:right="856" w:firstLine="657"/>
        <w:rPr>
          <w:rFonts w:ascii="宋体" w:hAnsi="Times New Roman" w:eastAsia="宋体" w:cs="宋体"/>
          <w:b/>
          <w:bCs/>
          <w:kern w:val="0"/>
          <w:sz w:val="37"/>
          <w:szCs w:val="37"/>
          <w:highlight w:val="none"/>
        </w:rPr>
        <w:sectPr>
          <w:footerReference r:id="rId3" w:type="default"/>
          <w:pgSz w:w="11900" w:h="16840"/>
          <w:pgMar w:top="1134" w:right="1417" w:bottom="1134" w:left="1417" w:header="0" w:footer="454" w:gutter="0"/>
          <w:pgBorders>
            <w:top w:val="none" w:sz="0" w:space="0"/>
            <w:left w:val="none" w:sz="0" w:space="0"/>
            <w:bottom w:val="none" w:sz="0" w:space="0"/>
            <w:right w:val="none" w:sz="0" w:space="0"/>
          </w:pgBorders>
          <w:cols w:space="0" w:num="1"/>
        </w:sectPr>
      </w:pPr>
    </w:p>
    <w:p w14:paraId="665AD4A7">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第四部分</w:t>
      </w:r>
      <w:r>
        <w:rPr>
          <w:rFonts w:ascii="宋体" w:hAnsi="Times New Roman" w:eastAsia="宋体" w:cs="宋体"/>
          <w:b/>
          <w:bCs/>
          <w:kern w:val="0"/>
          <w:sz w:val="37"/>
          <w:szCs w:val="37"/>
          <w:highlight w:val="none"/>
        </w:rPr>
        <w:t xml:space="preserve"> </w:t>
      </w:r>
      <w:r>
        <w:rPr>
          <w:rFonts w:hint="eastAsia" w:ascii="宋体" w:hAnsi="Times New Roman" w:eastAsia="宋体" w:cs="宋体"/>
          <w:b/>
          <w:bCs/>
          <w:kern w:val="0"/>
          <w:sz w:val="37"/>
          <w:szCs w:val="37"/>
          <w:highlight w:val="none"/>
        </w:rPr>
        <w:t>合同范本</w:t>
      </w:r>
    </w:p>
    <w:p w14:paraId="792131B6">
      <w:pPr>
        <w:rPr>
          <w:rFonts w:ascii="Calibri" w:hAnsi="Calibri" w:eastAsia="宋体" w:cs="Times New Roman"/>
          <w:highlight w:val="none"/>
        </w:rPr>
      </w:pPr>
      <w:bookmarkStart w:id="111" w:name="EB1610b347968443e7ae7eecf8839c6533"/>
    </w:p>
    <w:p w14:paraId="7A5441D1">
      <w:pPr>
        <w:jc w:val="left"/>
        <w:rPr>
          <w:rFonts w:ascii="宋体" w:hAnsi="宋体" w:eastAsia="宋体" w:cs="宋体"/>
          <w:bCs/>
          <w:sz w:val="32"/>
          <w:szCs w:val="32"/>
          <w:highlight w:val="none"/>
        </w:rPr>
      </w:pPr>
      <w:r>
        <w:rPr>
          <w:rFonts w:hint="eastAsia" w:ascii="宋体" w:hAnsi="宋体" w:eastAsia="宋体" w:cs="宋体"/>
          <w:bCs/>
          <w:sz w:val="32"/>
          <w:szCs w:val="32"/>
          <w:highlight w:val="none"/>
        </w:rPr>
        <w:t>（GF—2017—0201）</w:t>
      </w:r>
    </w:p>
    <w:p w14:paraId="23F6FB89">
      <w:pPr>
        <w:spacing w:line="360" w:lineRule="auto"/>
        <w:jc w:val="left"/>
        <w:rPr>
          <w:rFonts w:ascii="宋体" w:hAnsi="宋体" w:eastAsia="宋体" w:cs="宋体"/>
          <w:b/>
          <w:bCs/>
          <w:sz w:val="52"/>
          <w:szCs w:val="52"/>
          <w:highlight w:val="none"/>
        </w:rPr>
      </w:pPr>
    </w:p>
    <w:p w14:paraId="1AA67FF3">
      <w:pPr>
        <w:spacing w:line="360" w:lineRule="auto"/>
        <w:jc w:val="center"/>
        <w:rPr>
          <w:rFonts w:ascii="宋体" w:hAnsi="宋体" w:eastAsia="宋体" w:cs="宋体"/>
          <w:b/>
          <w:bCs/>
          <w:sz w:val="52"/>
          <w:szCs w:val="52"/>
          <w:highlight w:val="none"/>
        </w:rPr>
      </w:pPr>
      <w:r>
        <w:rPr>
          <w:rFonts w:hint="eastAsia" w:ascii="宋体" w:hAnsi="宋体" w:eastAsia="宋体" w:cs="宋体"/>
          <w:b/>
          <w:bCs/>
          <w:sz w:val="52"/>
          <w:szCs w:val="52"/>
          <w:highlight w:val="none"/>
        </w:rPr>
        <w:t xml:space="preserve"> </w:t>
      </w:r>
    </w:p>
    <w:p w14:paraId="35F6C37A">
      <w:pPr>
        <w:spacing w:line="360" w:lineRule="auto"/>
        <w:jc w:val="center"/>
        <w:rPr>
          <w:rFonts w:hint="eastAsia" w:ascii="宋体" w:hAnsi="宋体" w:eastAsia="宋体" w:cs="宋体"/>
          <w:b/>
          <w:bCs/>
          <w:sz w:val="52"/>
          <w:szCs w:val="52"/>
          <w:highlight w:val="none"/>
          <w:lang w:eastAsia="zh-CN"/>
        </w:rPr>
      </w:pPr>
      <w:r>
        <w:rPr>
          <w:rFonts w:hint="eastAsia" w:ascii="宋体" w:hAnsi="宋体" w:eastAsia="宋体" w:cs="宋体"/>
          <w:b/>
          <w:bCs/>
          <w:sz w:val="52"/>
          <w:szCs w:val="52"/>
          <w:highlight w:val="none"/>
          <w:lang w:eastAsia="zh-CN"/>
        </w:rPr>
        <w:t>狮山镇下柏社区本德黄公祠修缮工程</w:t>
      </w:r>
    </w:p>
    <w:p w14:paraId="6068C288">
      <w:pPr>
        <w:spacing w:line="400" w:lineRule="atLeast"/>
        <w:jc w:val="center"/>
        <w:rPr>
          <w:rFonts w:ascii="宋体" w:hAnsi="宋体" w:eastAsia="宋体" w:cs="宋体"/>
          <w:bCs/>
          <w:sz w:val="32"/>
          <w:szCs w:val="32"/>
          <w:highlight w:val="none"/>
        </w:rPr>
      </w:pPr>
      <w:r>
        <w:rPr>
          <w:rFonts w:hint="eastAsia" w:ascii="宋体" w:hAnsi="宋体" w:eastAsia="宋体" w:cs="宋体"/>
          <w:b/>
          <w:bCs/>
          <w:sz w:val="52"/>
          <w:szCs w:val="52"/>
          <w:highlight w:val="none"/>
        </w:rPr>
        <w:t xml:space="preserve"> </w:t>
      </w:r>
    </w:p>
    <w:p w14:paraId="79B94F5F">
      <w:pPr>
        <w:spacing w:after="120"/>
        <w:rPr>
          <w:rFonts w:ascii="宋体" w:hAnsi="宋体" w:eastAsia="宋体" w:cs="宋体"/>
          <w:szCs w:val="24"/>
          <w:highlight w:val="none"/>
        </w:rPr>
      </w:pPr>
    </w:p>
    <w:p w14:paraId="3F8068D2">
      <w:pPr>
        <w:spacing w:line="360" w:lineRule="auto"/>
        <w:jc w:val="center"/>
        <w:rPr>
          <w:rFonts w:ascii="宋体" w:hAnsi="宋体" w:eastAsia="宋体" w:cs="宋体"/>
          <w:b/>
          <w:sz w:val="72"/>
          <w:szCs w:val="52"/>
          <w:highlight w:val="none"/>
        </w:rPr>
      </w:pPr>
    </w:p>
    <w:p w14:paraId="73969245">
      <w:pPr>
        <w:spacing w:line="360" w:lineRule="auto"/>
        <w:jc w:val="center"/>
        <w:rPr>
          <w:rFonts w:ascii="宋体" w:hAnsi="宋体" w:eastAsia="宋体" w:cs="宋体"/>
          <w:b/>
          <w:bCs/>
          <w:sz w:val="52"/>
          <w:szCs w:val="52"/>
          <w:highlight w:val="none"/>
        </w:rPr>
      </w:pPr>
      <w:r>
        <w:rPr>
          <w:rFonts w:hint="eastAsia" w:ascii="宋体" w:hAnsi="宋体" w:eastAsia="宋体" w:cs="宋体"/>
          <w:b/>
          <w:sz w:val="72"/>
          <w:szCs w:val="52"/>
          <w:highlight w:val="none"/>
        </w:rPr>
        <w:t>建设工程施工合同</w:t>
      </w:r>
    </w:p>
    <w:p w14:paraId="1F1AEB3B">
      <w:pPr>
        <w:spacing w:line="360" w:lineRule="auto"/>
        <w:rPr>
          <w:rFonts w:ascii="宋体" w:hAnsi="宋体" w:eastAsia="宋体" w:cs="宋体"/>
          <w:b/>
          <w:bCs/>
          <w:sz w:val="28"/>
          <w:szCs w:val="28"/>
          <w:highlight w:val="none"/>
        </w:rPr>
      </w:pPr>
    </w:p>
    <w:p w14:paraId="7F015EE6">
      <w:pPr>
        <w:spacing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378F312">
      <w:pPr>
        <w:spacing w:line="400" w:lineRule="atLeast"/>
        <w:jc w:val="center"/>
        <w:rPr>
          <w:rFonts w:ascii="宋体" w:hAnsi="宋体" w:eastAsia="宋体" w:cs="宋体"/>
          <w:b/>
          <w:sz w:val="72"/>
          <w:szCs w:val="72"/>
          <w:highlight w:val="none"/>
        </w:rPr>
      </w:pPr>
    </w:p>
    <w:p w14:paraId="12706344">
      <w:pPr>
        <w:spacing w:line="400" w:lineRule="atLeast"/>
        <w:ind w:left="1978" w:leftChars="942" w:right="2719" w:rightChars="1295"/>
        <w:rPr>
          <w:rFonts w:ascii="宋体" w:hAnsi="宋体" w:eastAsia="宋体" w:cs="宋体"/>
          <w:b/>
          <w:sz w:val="32"/>
          <w:szCs w:val="28"/>
          <w:highlight w:val="none"/>
        </w:rPr>
      </w:pPr>
    </w:p>
    <w:p w14:paraId="0C8241AC">
      <w:pPr>
        <w:spacing w:line="400" w:lineRule="atLeast"/>
        <w:ind w:left="1978" w:leftChars="942" w:right="2719" w:rightChars="1295" w:firstLine="643" w:firstLineChars="200"/>
        <w:rPr>
          <w:rFonts w:ascii="宋体" w:hAnsi="宋体" w:eastAsia="宋体" w:cs="宋体"/>
          <w:b/>
          <w:sz w:val="32"/>
          <w:szCs w:val="28"/>
          <w:highlight w:val="none"/>
        </w:rPr>
      </w:pPr>
      <w:r>
        <w:rPr>
          <w:rFonts w:hint="eastAsia" w:ascii="宋体" w:hAnsi="宋体" w:eastAsia="宋体" w:cs="宋体"/>
          <w:b/>
          <w:sz w:val="32"/>
          <w:szCs w:val="28"/>
          <w:highlight w:val="none"/>
        </w:rPr>
        <w:t>住房和城乡建设部</w:t>
      </w:r>
    </w:p>
    <w:p w14:paraId="6B08A801">
      <w:pPr>
        <w:spacing w:line="400" w:lineRule="atLeast"/>
        <w:ind w:firstLine="2570" w:firstLineChars="800"/>
        <w:rPr>
          <w:rFonts w:ascii="宋体" w:hAnsi="宋体" w:eastAsia="宋体" w:cs="宋体"/>
          <w:sz w:val="32"/>
          <w:szCs w:val="20"/>
          <w:highlight w:val="none"/>
          <w:u w:val="single"/>
        </w:rPr>
      </w:pPr>
      <w:r>
        <w:rPr>
          <w:rFonts w:hint="eastAsia" w:ascii="宋体" w:hAnsi="宋体" w:eastAsia="宋体" w:cs="宋体"/>
          <w:b/>
          <w:sz w:val="32"/>
          <w:szCs w:val="28"/>
          <w:highlight w:val="none"/>
        </w:rPr>
        <w:t xml:space="preserve">国家工商行政管理总局  </w:t>
      </w:r>
      <w:r>
        <w:rPr>
          <w:rFonts w:ascii="宋体" w:hAnsi="宋体" w:eastAsia="宋体" w:cs="宋体"/>
          <w:szCs w:val="24"/>
          <w:highlight w:val="none"/>
        </w:rPr>
        <w:drawing>
          <wp:inline distT="0" distB="0" distL="0" distR="0">
            <wp:extent cx="731520" cy="464820"/>
            <wp:effectExtent l="0" t="0" r="0" b="0"/>
            <wp:docPr id="1" name="图片 1" descr="ksohtml65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sohtml6504/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31520" cy="464820"/>
                    </a:xfrm>
                    <a:prstGeom prst="rect">
                      <a:avLst/>
                    </a:prstGeom>
                    <a:noFill/>
                    <a:ln>
                      <a:noFill/>
                    </a:ln>
                  </pic:spPr>
                </pic:pic>
              </a:graphicData>
            </a:graphic>
          </wp:inline>
        </w:drawing>
      </w:r>
    </w:p>
    <w:p w14:paraId="3896778B">
      <w:pPr>
        <w:keepNext/>
        <w:keepLines/>
        <w:spacing w:line="400" w:lineRule="exact"/>
        <w:jc w:val="center"/>
        <w:outlineLvl w:val="2"/>
        <w:rPr>
          <w:rFonts w:ascii="宋体" w:hAnsi="宋体" w:eastAsia="宋体" w:cs="宋体"/>
          <w:b/>
          <w:bCs/>
          <w:sz w:val="32"/>
          <w:szCs w:val="32"/>
          <w:highlight w:val="none"/>
        </w:rPr>
      </w:pPr>
      <w:r>
        <w:rPr>
          <w:rFonts w:hint="eastAsia" w:ascii="宋体" w:hAnsi="宋体" w:eastAsia="宋体" w:cs="宋体"/>
          <w:b/>
          <w:bCs/>
          <w:sz w:val="28"/>
          <w:szCs w:val="28"/>
          <w:highlight w:val="none"/>
        </w:rPr>
        <w:br w:type="page"/>
      </w:r>
      <w:bookmarkStart w:id="112" w:name="_Toc167891499"/>
      <w:bookmarkStart w:id="113" w:name="_Toc484634650"/>
      <w:bookmarkStart w:id="114" w:name="_Toc18232"/>
      <w:bookmarkStart w:id="115" w:name="_Toc163474714"/>
      <w:r>
        <w:rPr>
          <w:rFonts w:hint="eastAsia" w:ascii="宋体" w:hAnsi="宋体" w:eastAsia="宋体" w:cs="宋体"/>
          <w:b/>
          <w:bCs/>
          <w:sz w:val="32"/>
          <w:szCs w:val="32"/>
          <w:highlight w:val="none"/>
        </w:rPr>
        <w:t>第一部分 合同协议书</w:t>
      </w:r>
      <w:bookmarkEnd w:id="112"/>
      <w:bookmarkEnd w:id="113"/>
      <w:bookmarkEnd w:id="114"/>
      <w:bookmarkEnd w:id="115"/>
    </w:p>
    <w:p w14:paraId="65BE44CF">
      <w:pPr>
        <w:spacing w:line="400" w:lineRule="exact"/>
        <w:rPr>
          <w:rFonts w:ascii="宋体" w:hAnsi="宋体" w:eastAsia="宋体" w:cs="宋体"/>
          <w:b/>
          <w:sz w:val="24"/>
          <w:szCs w:val="24"/>
          <w:highlight w:val="none"/>
        </w:rPr>
      </w:pPr>
    </w:p>
    <w:p w14:paraId="36D80136">
      <w:pPr>
        <w:spacing w:line="400" w:lineRule="exact"/>
        <w:rPr>
          <w:rFonts w:hint="eastAsia" w:ascii="宋体" w:hAnsi="宋体" w:eastAsia="宋体" w:cs="宋体"/>
          <w:b/>
          <w:sz w:val="24"/>
          <w:szCs w:val="24"/>
          <w:highlight w:val="none"/>
          <w:u w:val="single"/>
          <w:lang w:eastAsia="zh-CN"/>
        </w:rPr>
      </w:pPr>
      <w:r>
        <w:rPr>
          <w:rFonts w:hint="eastAsia" w:ascii="宋体" w:hAnsi="宋体" w:eastAsia="宋体" w:cs="宋体"/>
          <w:b/>
          <w:sz w:val="24"/>
          <w:szCs w:val="24"/>
          <w:highlight w:val="none"/>
        </w:rPr>
        <w:t>发包人全称：</w:t>
      </w:r>
      <w:r>
        <w:rPr>
          <w:rFonts w:hint="eastAsia" w:ascii="宋体" w:hAnsi="宋体" w:eastAsia="宋体" w:cs="宋体"/>
          <w:b/>
          <w:sz w:val="24"/>
          <w:szCs w:val="24"/>
          <w:highlight w:val="none"/>
          <w:u w:val="single"/>
          <w:lang w:eastAsia="zh-CN"/>
        </w:rPr>
        <w:t>佛山市南海区狮山镇下柏社区下柏经济联合社</w:t>
      </w:r>
    </w:p>
    <w:p w14:paraId="78D3E16B">
      <w:pPr>
        <w:spacing w:line="400" w:lineRule="exact"/>
        <w:rPr>
          <w:rFonts w:hint="eastAsia" w:ascii="宋体" w:hAnsi="宋体" w:eastAsia="宋体" w:cs="宋体"/>
          <w:b/>
          <w:sz w:val="24"/>
          <w:szCs w:val="24"/>
          <w:highlight w:val="none"/>
        </w:rPr>
      </w:pPr>
    </w:p>
    <w:p w14:paraId="71597DFB">
      <w:pPr>
        <w:spacing w:line="400" w:lineRule="exac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承包人全称：</w:t>
      </w:r>
      <w:r>
        <w:rPr>
          <w:rFonts w:hint="eastAsia" w:ascii="宋体" w:hAnsi="宋体" w:eastAsia="宋体" w:cs="宋体"/>
          <w:b/>
          <w:sz w:val="24"/>
          <w:szCs w:val="24"/>
          <w:highlight w:val="none"/>
          <w:u w:val="single"/>
        </w:rPr>
        <w:t xml:space="preserve">                          </w:t>
      </w:r>
    </w:p>
    <w:p w14:paraId="60E824E7">
      <w:pPr>
        <w:spacing w:line="460" w:lineRule="exact"/>
        <w:ind w:firstLine="480" w:firstLineChars="200"/>
        <w:rPr>
          <w:rFonts w:hint="eastAsia" w:ascii="宋体" w:hAnsi="宋体" w:eastAsia="宋体" w:cs="宋体"/>
          <w:sz w:val="24"/>
          <w:szCs w:val="24"/>
          <w:highlight w:val="none"/>
        </w:rPr>
      </w:pPr>
    </w:p>
    <w:p w14:paraId="075BBE1E">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sz w:val="24"/>
          <w:szCs w:val="24"/>
          <w:highlight w:val="none"/>
          <w:lang w:eastAsia="zh-CN"/>
        </w:rPr>
        <w:t>佛山市南海区狮山镇下柏社区下柏经济联合社</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狮山镇下柏社区本德黄公祠修缮工程</w:t>
      </w:r>
      <w:r>
        <w:rPr>
          <w:rFonts w:hint="eastAsia" w:ascii="宋体" w:hAnsi="宋体" w:eastAsia="宋体" w:cs="宋体"/>
          <w:sz w:val="24"/>
          <w:szCs w:val="24"/>
          <w:highlight w:val="none"/>
        </w:rPr>
        <w:t>施工及有关事项协商一致，共同达成如下协议：</w:t>
      </w:r>
    </w:p>
    <w:p w14:paraId="0636B373">
      <w:pPr>
        <w:keepNext/>
        <w:keepLines/>
        <w:spacing w:line="52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116" w:name="_Toc28049"/>
      <w:bookmarkStart w:id="117" w:name="_Toc430078985"/>
      <w:bookmarkStart w:id="118" w:name="_Toc417738152"/>
      <w:r>
        <w:rPr>
          <w:rFonts w:hint="eastAsia" w:ascii="宋体" w:hAnsi="宋体" w:eastAsia="宋体" w:cs="宋体"/>
          <w:b/>
          <w:sz w:val="24"/>
          <w:szCs w:val="24"/>
          <w:highlight w:val="none"/>
        </w:rPr>
        <w:t>一、工程概况</w:t>
      </w:r>
      <w:bookmarkEnd w:id="116"/>
      <w:bookmarkEnd w:id="117"/>
      <w:bookmarkEnd w:id="118"/>
    </w:p>
    <w:p w14:paraId="243911A7">
      <w:pPr>
        <w:spacing w:line="52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1.工程名称：</w:t>
      </w:r>
      <w:r>
        <w:rPr>
          <w:rFonts w:hint="eastAsia" w:ascii="宋体" w:hAnsi="宋体" w:eastAsia="宋体" w:cs="宋体"/>
          <w:bCs/>
          <w:sz w:val="24"/>
          <w:szCs w:val="24"/>
          <w:highlight w:val="none"/>
          <w:lang w:eastAsia="zh-CN"/>
        </w:rPr>
        <w:t>狮山镇下柏社区本德黄公祠修缮工程</w:t>
      </w:r>
      <w:r>
        <w:rPr>
          <w:rFonts w:hint="eastAsia" w:ascii="宋体" w:hAnsi="宋体" w:eastAsia="宋体" w:cs="宋体"/>
          <w:bCs/>
          <w:sz w:val="24"/>
          <w:szCs w:val="24"/>
          <w:highlight w:val="none"/>
        </w:rPr>
        <w:t>。</w:t>
      </w:r>
    </w:p>
    <w:p w14:paraId="70A0D3E0">
      <w:pPr>
        <w:spacing w:line="52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2.工程地点：</w:t>
      </w:r>
      <w:r>
        <w:rPr>
          <w:rFonts w:hint="eastAsia" w:ascii="宋体" w:hAnsi="宋体" w:eastAsia="宋体" w:cs="宋体"/>
          <w:bCs/>
          <w:sz w:val="24"/>
          <w:szCs w:val="24"/>
          <w:highlight w:val="none"/>
          <w:lang w:eastAsia="zh-CN"/>
        </w:rPr>
        <w:t>佛山市南海区狮山镇下柏社区东区村</w:t>
      </w:r>
      <w:r>
        <w:rPr>
          <w:rFonts w:hint="eastAsia" w:ascii="宋体" w:hAnsi="宋体" w:eastAsia="宋体" w:cs="宋体"/>
          <w:bCs/>
          <w:sz w:val="24"/>
          <w:szCs w:val="24"/>
          <w:highlight w:val="none"/>
        </w:rPr>
        <w:t>。</w:t>
      </w:r>
    </w:p>
    <w:p w14:paraId="524BB7DE">
      <w:pPr>
        <w:spacing w:line="52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3.资金来源：</w:t>
      </w:r>
      <w:r>
        <w:rPr>
          <w:rFonts w:hint="eastAsia" w:ascii="宋体" w:hAnsi="宋体" w:eastAsia="宋体" w:cs="宋体"/>
          <w:bCs/>
          <w:sz w:val="24"/>
          <w:szCs w:val="24"/>
          <w:highlight w:val="none"/>
          <w:lang w:eastAsia="zh-CN"/>
        </w:rPr>
        <w:t>自筹资金</w:t>
      </w:r>
      <w:r>
        <w:rPr>
          <w:rFonts w:hint="eastAsia" w:ascii="宋体" w:hAnsi="宋体" w:eastAsia="宋体" w:cs="宋体"/>
          <w:bCs/>
          <w:sz w:val="24"/>
          <w:szCs w:val="24"/>
          <w:highlight w:val="none"/>
        </w:rPr>
        <w:t>。</w:t>
      </w:r>
    </w:p>
    <w:p w14:paraId="472906D8">
      <w:pPr>
        <w:spacing w:line="520" w:lineRule="exact"/>
        <w:ind w:firstLine="470" w:firstLineChars="196"/>
        <w:rPr>
          <w:rFonts w:hint="eastAsia" w:ascii="宋体" w:hAnsi="宋体" w:eastAsia="宋体" w:cs="宋体"/>
          <w:sz w:val="24"/>
          <w:szCs w:val="24"/>
          <w:highlight w:val="none"/>
        </w:rPr>
      </w:pPr>
      <w:r>
        <w:rPr>
          <w:rFonts w:hint="eastAsia" w:ascii="宋体" w:hAnsi="宋体" w:eastAsia="宋体" w:cs="宋体"/>
          <w:bCs/>
          <w:sz w:val="24"/>
          <w:szCs w:val="24"/>
          <w:highlight w:val="none"/>
        </w:rPr>
        <w:t>4.建设规模：</w:t>
      </w:r>
      <w:r>
        <w:rPr>
          <w:rFonts w:hint="eastAsia" w:ascii="宋体" w:hAnsi="宋体" w:eastAsia="宋体" w:cs="宋体"/>
          <w:sz w:val="24"/>
          <w:szCs w:val="24"/>
          <w:highlight w:val="none"/>
          <w:lang w:val="en-US" w:eastAsia="zh-CN"/>
        </w:rPr>
        <w:t>本工程为对狮山镇下柏社区本德黄公祠进行修缮，本建筑物为一层，共二进，砖木结构。通面阔为13.35米，总进深为27.32米。建筑面积368.23m2。主要工作内容为:基础加固，地面恢复，墙体纠偏、清洗修复，木构件修复及防腐油饰，屋面揭瓦重铺，修复屋脊灰塑及室内外装饰构件等。</w:t>
      </w:r>
    </w:p>
    <w:p w14:paraId="57068DCB">
      <w:pPr>
        <w:spacing w:line="520" w:lineRule="exact"/>
        <w:ind w:firstLine="470" w:firstLineChars="196"/>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5.承包内容：</w:t>
      </w:r>
      <w:bookmarkStart w:id="119" w:name="_Toc430078986"/>
      <w:bookmarkStart w:id="120" w:name="_Toc417738153"/>
      <w:r>
        <w:rPr>
          <w:rFonts w:hint="eastAsia" w:ascii="宋体" w:hAnsi="宋体" w:eastAsia="宋体" w:cs="宋体"/>
          <w:sz w:val="24"/>
          <w:szCs w:val="24"/>
          <w:highlight w:val="none"/>
          <w:lang w:eastAsia="zh-CN"/>
        </w:rPr>
        <w:t>本工程为狮山镇下柏社区本德黄公祠修缮工程，修缮内容包括：对狮山镇下柏社区本德黄公祠进行修缮，本建筑物为一层，共二进，砖木结构。通面阔为13.35米，总进深为27.32米。建筑面积368.23m2。主要工作内容为:包括项目范围内对狮山镇下柏社区本德黄公祠进行修缮，本建筑物为一层，共二进，砖木结构。通面阔为13.35米，总进深为27.32米。建筑面积368.23m2。主要工作内容为:基础加固，地面恢复，墙体纠偏、清洗修复，木构件修复及防腐油饰，屋面揭瓦重铺，修复屋脊灰塑及室内外装饰构件等，具体详见工程量清单、施工图纸等资料。</w:t>
      </w:r>
    </w:p>
    <w:p w14:paraId="1897F558">
      <w:pPr>
        <w:spacing w:line="520" w:lineRule="exact"/>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二、合同工期</w:t>
      </w:r>
      <w:bookmarkEnd w:id="119"/>
      <w:bookmarkEnd w:id="120"/>
    </w:p>
    <w:p w14:paraId="7478A3B8">
      <w:pPr>
        <w:spacing w:line="520" w:lineRule="exact"/>
        <w:ind w:firstLine="459"/>
        <w:rPr>
          <w:rFonts w:hint="eastAsia" w:ascii="宋体" w:hAnsi="宋体" w:eastAsia="宋体" w:cs="宋体"/>
          <w:b/>
          <w:sz w:val="24"/>
          <w:szCs w:val="24"/>
          <w:highlight w:val="none"/>
        </w:rPr>
      </w:pPr>
      <w:r>
        <w:rPr>
          <w:rFonts w:hint="eastAsia" w:ascii="宋体" w:hAnsi="宋体" w:eastAsia="宋体" w:cs="宋体"/>
          <w:sz w:val="24"/>
          <w:szCs w:val="24"/>
          <w:highlight w:val="none"/>
        </w:rPr>
        <w:t>施工工期：</w:t>
      </w:r>
      <w:r>
        <w:rPr>
          <w:rFonts w:hint="eastAsia" w:ascii="宋体" w:hAnsi="宋体" w:eastAsia="宋体" w:cs="宋体"/>
          <w:sz w:val="24"/>
          <w:szCs w:val="24"/>
          <w:highlight w:val="none"/>
          <w:lang w:val="en-US" w:eastAsia="zh-CN"/>
        </w:rPr>
        <w:t>365个日历天</w:t>
      </w:r>
      <w:r>
        <w:rPr>
          <w:rFonts w:hint="eastAsia" w:ascii="宋体" w:hAnsi="宋体" w:eastAsia="宋体" w:cs="宋体"/>
          <w:sz w:val="24"/>
          <w:szCs w:val="24"/>
          <w:highlight w:val="none"/>
        </w:rPr>
        <w:t>，具体开工日期以发包人发出的开工通知或监理人审批的开工令为准，完工时间以发包人同意承包人提交竣工验收申请为准，工期不因雨天、假期及办理各方面的手续等因素而延长。</w:t>
      </w:r>
    </w:p>
    <w:p w14:paraId="4D74E8DB">
      <w:pPr>
        <w:keepNext/>
        <w:keepLines/>
        <w:spacing w:line="52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121" w:name="_Toc417738154"/>
      <w:bookmarkStart w:id="122" w:name="_Toc24381"/>
      <w:bookmarkStart w:id="123" w:name="_Toc430078987"/>
      <w:r>
        <w:rPr>
          <w:rFonts w:hint="eastAsia" w:ascii="宋体" w:hAnsi="宋体" w:eastAsia="宋体" w:cs="宋体"/>
          <w:b/>
          <w:sz w:val="24"/>
          <w:szCs w:val="24"/>
          <w:highlight w:val="none"/>
        </w:rPr>
        <w:t>三、质量标准</w:t>
      </w:r>
      <w:bookmarkEnd w:id="121"/>
      <w:bookmarkEnd w:id="122"/>
      <w:bookmarkEnd w:id="123"/>
    </w:p>
    <w:p w14:paraId="418BA69F">
      <w:pPr>
        <w:spacing w:line="520" w:lineRule="exact"/>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工程质量标准：执行国家、省或行业现行的工程建设质量验收标准及规范，须达到合格验收质量等级标准。</w:t>
      </w:r>
    </w:p>
    <w:p w14:paraId="04D1F2A4">
      <w:pPr>
        <w:keepNext/>
        <w:keepLines/>
        <w:spacing w:line="52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124" w:name="_Toc417738155"/>
      <w:bookmarkStart w:id="125" w:name="_Toc15362"/>
      <w:bookmarkStart w:id="126" w:name="_Toc430078988"/>
      <w:r>
        <w:rPr>
          <w:rFonts w:hint="eastAsia" w:ascii="宋体" w:hAnsi="宋体" w:eastAsia="宋体" w:cs="宋体"/>
          <w:b/>
          <w:sz w:val="24"/>
          <w:szCs w:val="24"/>
          <w:highlight w:val="none"/>
        </w:rPr>
        <w:t>四、签约合同价与合同价格形式</w:t>
      </w:r>
      <w:bookmarkEnd w:id="124"/>
      <w:bookmarkEnd w:id="125"/>
      <w:bookmarkEnd w:id="126"/>
      <w:r>
        <w:rPr>
          <w:rFonts w:hint="eastAsia" w:ascii="宋体" w:hAnsi="宋体" w:eastAsia="宋体" w:cs="宋体"/>
          <w:b/>
          <w:sz w:val="24"/>
          <w:szCs w:val="24"/>
          <w:highlight w:val="none"/>
        </w:rPr>
        <w:tab/>
      </w:r>
    </w:p>
    <w:p w14:paraId="44C02082">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73BB239B">
      <w:pPr>
        <w:spacing w:line="5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人民币（大写）</w:t>
      </w:r>
      <w:r>
        <w:rPr>
          <w:rFonts w:hint="eastAsia" w:ascii="宋体" w:hAnsi="宋体" w:eastAsia="宋体" w:cs="宋体"/>
          <w:sz w:val="24"/>
          <w:szCs w:val="24"/>
          <w:highlight w:val="none"/>
          <w:u w:val="single"/>
        </w:rPr>
        <w:t xml:space="preserve">            (￥         元)；</w:t>
      </w:r>
    </w:p>
    <w:p w14:paraId="5A3ACFBB">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p w14:paraId="469AA44E">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（1）绿色施工安全防护措施费：</w:t>
      </w:r>
    </w:p>
    <w:p w14:paraId="411B5154">
      <w:pPr>
        <w:spacing w:line="52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元)；</w:t>
      </w:r>
    </w:p>
    <w:p w14:paraId="1C2AF01D">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2.合同价格形式：</w:t>
      </w:r>
      <w:r>
        <w:rPr>
          <w:rFonts w:hint="eastAsia" w:ascii="宋体" w:hAnsi="宋体" w:eastAsia="宋体" w:cs="宋体"/>
          <w:sz w:val="24"/>
          <w:szCs w:val="24"/>
          <w:highlight w:val="none"/>
          <w:u w:val="single"/>
        </w:rPr>
        <w:t>综合单价包干</w:t>
      </w:r>
      <w:r>
        <w:rPr>
          <w:rFonts w:hint="eastAsia" w:ascii="宋体" w:hAnsi="宋体" w:eastAsia="宋体" w:cs="宋体"/>
          <w:sz w:val="24"/>
          <w:szCs w:val="24"/>
          <w:highlight w:val="none"/>
        </w:rPr>
        <w:t>。</w:t>
      </w:r>
    </w:p>
    <w:p w14:paraId="0E5E21F6">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27" w:name="_Toc430078989"/>
      <w:bookmarkStart w:id="128" w:name="_Toc12420"/>
      <w:bookmarkStart w:id="129" w:name="_Toc417738156"/>
      <w:r>
        <w:rPr>
          <w:rFonts w:hint="eastAsia" w:ascii="宋体" w:hAnsi="宋体" w:eastAsia="宋体" w:cs="宋体"/>
          <w:b/>
          <w:sz w:val="24"/>
          <w:szCs w:val="24"/>
          <w:highlight w:val="none"/>
        </w:rPr>
        <w:t>五、项目经理</w:t>
      </w:r>
      <w:bookmarkEnd w:id="127"/>
      <w:bookmarkEnd w:id="128"/>
      <w:bookmarkEnd w:id="129"/>
    </w:p>
    <w:p w14:paraId="7224908E">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承包人项目经理：</w:t>
      </w:r>
      <w:r>
        <w:rPr>
          <w:rFonts w:hint="eastAsia" w:ascii="宋体" w:hAnsi="宋体" w:eastAsia="宋体" w:cs="宋体"/>
          <w:bCs/>
          <w:sz w:val="24"/>
          <w:szCs w:val="24"/>
          <w:highlight w:val="none"/>
          <w:u w:val="single"/>
        </w:rPr>
        <w:t xml:space="preserve">         （建造师注册证号：         </w:t>
      </w:r>
      <w:r>
        <w:rPr>
          <w:rFonts w:hint="eastAsia" w:ascii="宋体" w:hAnsi="宋体" w:eastAsia="宋体" w:cs="宋体"/>
          <w:bCs/>
          <w:sz w:val="24"/>
          <w:szCs w:val="24"/>
          <w:highlight w:val="none"/>
        </w:rPr>
        <w:t>）。</w:t>
      </w:r>
    </w:p>
    <w:p w14:paraId="46ED2055">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0" w:name="_Toc4602"/>
      <w:bookmarkStart w:id="131" w:name="_Toc430078990"/>
      <w:bookmarkStart w:id="132" w:name="_Toc417738157"/>
      <w:r>
        <w:rPr>
          <w:rFonts w:hint="eastAsia" w:ascii="宋体" w:hAnsi="宋体" w:eastAsia="宋体" w:cs="宋体"/>
          <w:b/>
          <w:sz w:val="24"/>
          <w:szCs w:val="24"/>
          <w:highlight w:val="none"/>
        </w:rPr>
        <w:t>六、合同文件构成</w:t>
      </w:r>
      <w:bookmarkEnd w:id="130"/>
      <w:bookmarkEnd w:id="131"/>
      <w:bookmarkEnd w:id="132"/>
    </w:p>
    <w:p w14:paraId="4A651DDA">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686284CD">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（1）中标通知书；</w:t>
      </w:r>
    </w:p>
    <w:p w14:paraId="70859B9A">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（2）投标函及其附录； </w:t>
      </w:r>
    </w:p>
    <w:p w14:paraId="592A394F">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（3）专用合同条款及其附件；</w:t>
      </w:r>
    </w:p>
    <w:p w14:paraId="0DD91B42">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（4）通用合同条款；</w:t>
      </w:r>
    </w:p>
    <w:p w14:paraId="3BE23352">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4E14BBB8">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（6）图纸；</w:t>
      </w:r>
    </w:p>
    <w:p w14:paraId="030479C6">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（7）已标价工程量清单或预算书；</w:t>
      </w:r>
    </w:p>
    <w:p w14:paraId="08AA1214">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（8）招标文件及附件；</w:t>
      </w:r>
    </w:p>
    <w:p w14:paraId="7DFF6A5F">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（9）承包人投标文件及其附件（含评标期间的澄清文件和补充资料）；</w:t>
      </w:r>
    </w:p>
    <w:p w14:paraId="2ADD1340">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（10）其他合同文件。</w:t>
      </w:r>
    </w:p>
    <w:p w14:paraId="09DD79CE">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72F3C547">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0E78835">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3" w:name="_Toc21075"/>
      <w:bookmarkStart w:id="134" w:name="_Toc430078991"/>
      <w:bookmarkStart w:id="135" w:name="_Toc417738158"/>
      <w:r>
        <w:rPr>
          <w:rFonts w:hint="eastAsia" w:ascii="宋体" w:hAnsi="宋体" w:eastAsia="宋体" w:cs="宋体"/>
          <w:bCs/>
          <w:sz w:val="24"/>
          <w:szCs w:val="24"/>
          <w:highlight w:val="none"/>
        </w:rPr>
        <w:t>七、承诺</w:t>
      </w:r>
      <w:bookmarkEnd w:id="133"/>
      <w:bookmarkEnd w:id="134"/>
      <w:bookmarkEnd w:id="135"/>
    </w:p>
    <w:p w14:paraId="5A8B0E29">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5483D4B1">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2B9976E1">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承包人须为验收提供必需的一切条件及相关费用，在工程施工完毕后5个工作日内由承包人、发包人、监理单位或由法定专业质检部门按照国家和广东省以及佛山市建设行政主管部门的有关规定，共同验收并出具验收确认书。验收交付前的设备及施工材料在现场的安全保管责任由承包人承担。承包人在施工过程中应做好原场地及设备的保护工作，并在验收交付使用前对已破坏的场地进行恢复</w:t>
      </w:r>
    </w:p>
    <w:p w14:paraId="28FF57D4">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4.发包人和承包人通过招投标形式签订合同的，双方理解并承诺不再就同一工程另行签订与合同实质性内容相背离的协议。</w:t>
      </w:r>
    </w:p>
    <w:p w14:paraId="22201189">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6" w:name="_Toc15881"/>
      <w:bookmarkStart w:id="137" w:name="_Toc430078992"/>
      <w:bookmarkStart w:id="138" w:name="_Toc417738159"/>
      <w:r>
        <w:rPr>
          <w:rFonts w:hint="eastAsia" w:ascii="宋体" w:hAnsi="宋体" w:eastAsia="宋体" w:cs="宋体"/>
          <w:bCs/>
          <w:sz w:val="24"/>
          <w:szCs w:val="24"/>
          <w:highlight w:val="none"/>
        </w:rPr>
        <w:t>八、词语含义</w:t>
      </w:r>
      <w:bookmarkEnd w:id="136"/>
      <w:bookmarkEnd w:id="137"/>
      <w:bookmarkEnd w:id="138"/>
    </w:p>
    <w:p w14:paraId="38C5393C">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6A263BEA">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9" w:name="_Toc430078993"/>
      <w:bookmarkStart w:id="140" w:name="_Toc9169"/>
      <w:bookmarkStart w:id="141" w:name="_Toc417738160"/>
      <w:r>
        <w:rPr>
          <w:rFonts w:hint="eastAsia" w:ascii="宋体" w:hAnsi="宋体" w:eastAsia="宋体" w:cs="宋体"/>
          <w:bCs/>
          <w:sz w:val="24"/>
          <w:szCs w:val="24"/>
          <w:highlight w:val="none"/>
        </w:rPr>
        <w:t>九、签订时间</w:t>
      </w:r>
      <w:bookmarkEnd w:id="139"/>
      <w:bookmarkEnd w:id="140"/>
      <w:bookmarkEnd w:id="141"/>
    </w:p>
    <w:p w14:paraId="6B86CEE4">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日签订。</w:t>
      </w:r>
    </w:p>
    <w:p w14:paraId="470871AB">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42" w:name="_Toc417738161"/>
      <w:bookmarkStart w:id="143" w:name="_Toc10797"/>
      <w:bookmarkStart w:id="144" w:name="_Toc430078994"/>
      <w:r>
        <w:rPr>
          <w:rFonts w:hint="eastAsia" w:ascii="宋体" w:hAnsi="宋体" w:eastAsia="宋体" w:cs="宋体"/>
          <w:bCs/>
          <w:sz w:val="24"/>
          <w:szCs w:val="24"/>
          <w:highlight w:val="none"/>
        </w:rPr>
        <w:t>十、签订地点</w:t>
      </w:r>
      <w:bookmarkEnd w:id="142"/>
      <w:bookmarkEnd w:id="143"/>
      <w:bookmarkEnd w:id="144"/>
    </w:p>
    <w:p w14:paraId="6EF0710D">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南海区</w:t>
      </w:r>
      <w:r>
        <w:rPr>
          <w:rFonts w:hint="eastAsia" w:ascii="宋体" w:hAnsi="宋体" w:eastAsia="宋体" w:cs="宋体"/>
          <w:bCs/>
          <w:sz w:val="24"/>
          <w:szCs w:val="24"/>
          <w:highlight w:val="none"/>
          <w:u w:val="single"/>
          <w:lang w:eastAsia="zh-CN"/>
        </w:rPr>
        <w:t>狮山</w:t>
      </w:r>
      <w:r>
        <w:rPr>
          <w:rFonts w:hint="eastAsia" w:ascii="宋体" w:hAnsi="宋体" w:eastAsia="宋体" w:cs="宋体"/>
          <w:bCs/>
          <w:sz w:val="24"/>
          <w:szCs w:val="24"/>
          <w:highlight w:val="none"/>
          <w:u w:val="single"/>
        </w:rPr>
        <w:t>镇</w:t>
      </w:r>
      <w:r>
        <w:rPr>
          <w:rFonts w:hint="eastAsia" w:ascii="宋体" w:hAnsi="宋体" w:eastAsia="宋体" w:cs="宋体"/>
          <w:bCs/>
          <w:sz w:val="24"/>
          <w:szCs w:val="24"/>
          <w:highlight w:val="none"/>
        </w:rPr>
        <w:t>签订。</w:t>
      </w:r>
    </w:p>
    <w:p w14:paraId="7354E608">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45" w:name="_Toc417738162"/>
      <w:bookmarkStart w:id="146" w:name="_Toc6322"/>
      <w:bookmarkStart w:id="147" w:name="_Toc430078995"/>
      <w:r>
        <w:rPr>
          <w:rFonts w:hint="eastAsia" w:ascii="宋体" w:hAnsi="宋体" w:eastAsia="宋体" w:cs="宋体"/>
          <w:bCs/>
          <w:sz w:val="24"/>
          <w:szCs w:val="24"/>
          <w:highlight w:val="none"/>
        </w:rPr>
        <w:t>十一、补充协议</w:t>
      </w:r>
      <w:bookmarkEnd w:id="145"/>
      <w:bookmarkEnd w:id="146"/>
      <w:bookmarkEnd w:id="147"/>
    </w:p>
    <w:p w14:paraId="1BFC2CC6">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1674ABAB">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48" w:name="_Toc430078996"/>
      <w:bookmarkStart w:id="149" w:name="_Toc3655"/>
      <w:bookmarkStart w:id="150" w:name="_Toc417738163"/>
      <w:r>
        <w:rPr>
          <w:rFonts w:hint="eastAsia" w:ascii="宋体" w:hAnsi="宋体" w:eastAsia="宋体" w:cs="宋体"/>
          <w:bCs/>
          <w:sz w:val="24"/>
          <w:szCs w:val="24"/>
          <w:highlight w:val="none"/>
        </w:rPr>
        <w:t>十二、合同生效</w:t>
      </w:r>
      <w:bookmarkEnd w:id="148"/>
      <w:bookmarkEnd w:id="149"/>
      <w:bookmarkEnd w:id="150"/>
    </w:p>
    <w:p w14:paraId="50AE81DA">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bCs/>
          <w:sz w:val="24"/>
          <w:szCs w:val="24"/>
          <w:highlight w:val="none"/>
          <w:u w:val="single"/>
        </w:rPr>
        <w:t>双方签字、盖章之日起</w:t>
      </w:r>
      <w:r>
        <w:rPr>
          <w:rFonts w:hint="eastAsia" w:ascii="宋体" w:hAnsi="宋体" w:eastAsia="宋体" w:cs="宋体"/>
          <w:bCs/>
          <w:sz w:val="24"/>
          <w:szCs w:val="24"/>
          <w:highlight w:val="none"/>
        </w:rPr>
        <w:t>生效。</w:t>
      </w:r>
    </w:p>
    <w:p w14:paraId="256AAF39">
      <w:pPr>
        <w:keepNext/>
        <w:keepLines/>
        <w:spacing w:line="520" w:lineRule="exact"/>
        <w:outlineLvl w:val="3"/>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 xml:space="preserve">   </w:t>
      </w:r>
      <w:bookmarkStart w:id="151" w:name="_Toc417738164"/>
      <w:bookmarkStart w:id="152" w:name="_Toc430078997"/>
      <w:bookmarkStart w:id="153" w:name="_Toc22599"/>
      <w:r>
        <w:rPr>
          <w:rFonts w:hint="eastAsia" w:ascii="宋体" w:hAnsi="宋体" w:eastAsia="宋体" w:cs="宋体"/>
          <w:bCs/>
          <w:sz w:val="24"/>
          <w:szCs w:val="24"/>
          <w:highlight w:val="none"/>
        </w:rPr>
        <w:t>十三、合同份数</w:t>
      </w:r>
      <w:bookmarkEnd w:id="151"/>
      <w:bookmarkEnd w:id="152"/>
      <w:bookmarkEnd w:id="153"/>
      <w:r>
        <w:rPr>
          <w:rFonts w:hint="eastAsia" w:ascii="宋体" w:hAnsi="宋体" w:eastAsia="宋体" w:cs="宋体"/>
          <w:bCs/>
          <w:sz w:val="24"/>
          <w:szCs w:val="24"/>
          <w:highlight w:val="none"/>
        </w:rPr>
        <w:tab/>
      </w:r>
    </w:p>
    <w:p w14:paraId="4EB3FBCC">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w:t>
      </w:r>
    </w:p>
    <w:p w14:paraId="200C3A6E">
      <w:pPr>
        <w:spacing w:line="460" w:lineRule="exact"/>
        <w:ind w:firstLine="480" w:firstLineChars="200"/>
        <w:rPr>
          <w:rFonts w:hint="eastAsia" w:ascii="宋体" w:hAnsi="宋体" w:eastAsia="宋体" w:cs="宋体"/>
          <w:bCs/>
          <w:sz w:val="24"/>
          <w:szCs w:val="24"/>
          <w:highlight w:val="none"/>
        </w:rPr>
      </w:pPr>
    </w:p>
    <w:p w14:paraId="30907AB5">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(合同协议书签署页)</w:t>
      </w:r>
    </w:p>
    <w:tbl>
      <w:tblPr>
        <w:tblStyle w:val="61"/>
        <w:tblW w:w="0" w:type="auto"/>
        <w:jc w:val="center"/>
        <w:tblLayout w:type="fixed"/>
        <w:tblCellMar>
          <w:top w:w="0" w:type="dxa"/>
          <w:left w:w="108" w:type="dxa"/>
          <w:bottom w:w="0" w:type="dxa"/>
          <w:right w:w="108" w:type="dxa"/>
        </w:tblCellMar>
      </w:tblPr>
      <w:tblGrid>
        <w:gridCol w:w="4560"/>
        <w:gridCol w:w="4171"/>
      </w:tblGrid>
      <w:tr w14:paraId="2FCED4F5">
        <w:tblPrEx>
          <w:tblCellMar>
            <w:top w:w="0" w:type="dxa"/>
            <w:left w:w="108" w:type="dxa"/>
            <w:bottom w:w="0" w:type="dxa"/>
            <w:right w:w="108" w:type="dxa"/>
          </w:tblCellMar>
        </w:tblPrEx>
        <w:trPr>
          <w:trHeight w:val="664" w:hRule="atLeast"/>
          <w:jc w:val="center"/>
        </w:trPr>
        <w:tc>
          <w:tcPr>
            <w:tcW w:w="4560" w:type="dxa"/>
          </w:tcPr>
          <w:p w14:paraId="59AC8C2C">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p>
        </w:tc>
        <w:tc>
          <w:tcPr>
            <w:tcW w:w="4171" w:type="dxa"/>
          </w:tcPr>
          <w:p w14:paraId="211E8730">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承包人(公章)：</w:t>
            </w:r>
          </w:p>
        </w:tc>
      </w:tr>
      <w:tr w14:paraId="16146595">
        <w:tblPrEx>
          <w:tblCellMar>
            <w:top w:w="0" w:type="dxa"/>
            <w:left w:w="108" w:type="dxa"/>
            <w:bottom w:w="0" w:type="dxa"/>
            <w:right w:w="108" w:type="dxa"/>
          </w:tblCellMar>
        </w:tblPrEx>
        <w:trPr>
          <w:trHeight w:val="664" w:hRule="atLeast"/>
          <w:jc w:val="center"/>
        </w:trPr>
        <w:tc>
          <w:tcPr>
            <w:tcW w:w="4560" w:type="dxa"/>
          </w:tcPr>
          <w:p w14:paraId="6C9FC871">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c>
          <w:tcPr>
            <w:tcW w:w="4171" w:type="dxa"/>
          </w:tcPr>
          <w:p w14:paraId="3FB68F5B">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r>
      <w:tr w14:paraId="6B0929CC">
        <w:tblPrEx>
          <w:tblCellMar>
            <w:top w:w="0" w:type="dxa"/>
            <w:left w:w="108" w:type="dxa"/>
            <w:bottom w:w="0" w:type="dxa"/>
            <w:right w:w="108" w:type="dxa"/>
          </w:tblCellMar>
        </w:tblPrEx>
        <w:trPr>
          <w:trHeight w:val="664" w:hRule="atLeast"/>
          <w:jc w:val="center"/>
        </w:trPr>
        <w:tc>
          <w:tcPr>
            <w:tcW w:w="4560" w:type="dxa"/>
          </w:tcPr>
          <w:p w14:paraId="48D33F29">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w:t>
            </w:r>
          </w:p>
        </w:tc>
        <w:tc>
          <w:tcPr>
            <w:tcW w:w="4171" w:type="dxa"/>
          </w:tcPr>
          <w:p w14:paraId="2DD580C2">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w:t>
            </w:r>
          </w:p>
        </w:tc>
      </w:tr>
      <w:tr w14:paraId="19A1F78C">
        <w:tblPrEx>
          <w:tblCellMar>
            <w:top w:w="0" w:type="dxa"/>
            <w:left w:w="108" w:type="dxa"/>
            <w:bottom w:w="0" w:type="dxa"/>
            <w:right w:w="108" w:type="dxa"/>
          </w:tblCellMar>
        </w:tblPrEx>
        <w:trPr>
          <w:trHeight w:val="664" w:hRule="atLeast"/>
          <w:jc w:val="center"/>
        </w:trPr>
        <w:tc>
          <w:tcPr>
            <w:tcW w:w="4560" w:type="dxa"/>
          </w:tcPr>
          <w:p w14:paraId="5EF22F9C">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171" w:type="dxa"/>
          </w:tcPr>
          <w:p w14:paraId="50EA6E76">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6DBF7206">
        <w:tblPrEx>
          <w:tblCellMar>
            <w:top w:w="0" w:type="dxa"/>
            <w:left w:w="108" w:type="dxa"/>
            <w:bottom w:w="0" w:type="dxa"/>
            <w:right w:w="108" w:type="dxa"/>
          </w:tblCellMar>
        </w:tblPrEx>
        <w:trPr>
          <w:trHeight w:val="664" w:hRule="atLeast"/>
          <w:jc w:val="center"/>
        </w:trPr>
        <w:tc>
          <w:tcPr>
            <w:tcW w:w="4560" w:type="dxa"/>
          </w:tcPr>
          <w:p w14:paraId="4441436B">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171" w:type="dxa"/>
          </w:tcPr>
          <w:p w14:paraId="49514968">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58A5D15D">
        <w:tblPrEx>
          <w:tblCellMar>
            <w:top w:w="0" w:type="dxa"/>
            <w:left w:w="108" w:type="dxa"/>
            <w:bottom w:w="0" w:type="dxa"/>
            <w:right w:w="108" w:type="dxa"/>
          </w:tblCellMar>
        </w:tblPrEx>
        <w:trPr>
          <w:trHeight w:val="664" w:hRule="atLeast"/>
          <w:jc w:val="center"/>
        </w:trPr>
        <w:tc>
          <w:tcPr>
            <w:tcW w:w="4560" w:type="dxa"/>
          </w:tcPr>
          <w:p w14:paraId="6B5520AE">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4171" w:type="dxa"/>
          </w:tcPr>
          <w:p w14:paraId="4A16DE0D">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r>
      <w:tr w14:paraId="2FEF02D6">
        <w:tblPrEx>
          <w:tblCellMar>
            <w:top w:w="0" w:type="dxa"/>
            <w:left w:w="108" w:type="dxa"/>
            <w:bottom w:w="0" w:type="dxa"/>
            <w:right w:w="108" w:type="dxa"/>
          </w:tblCellMar>
        </w:tblPrEx>
        <w:trPr>
          <w:trHeight w:val="664" w:hRule="atLeast"/>
          <w:jc w:val="center"/>
        </w:trPr>
        <w:tc>
          <w:tcPr>
            <w:tcW w:w="4560" w:type="dxa"/>
          </w:tcPr>
          <w:p w14:paraId="6BCF8F06">
            <w:pPr>
              <w:spacing w:line="600" w:lineRule="exact"/>
              <w:rPr>
                <w:rFonts w:hint="eastAsia" w:ascii="宋体" w:hAnsi="宋体" w:eastAsia="宋体" w:cs="宋体"/>
                <w:sz w:val="24"/>
                <w:szCs w:val="24"/>
                <w:highlight w:val="none"/>
              </w:rPr>
            </w:pPr>
          </w:p>
        </w:tc>
        <w:tc>
          <w:tcPr>
            <w:tcW w:w="4171" w:type="dxa"/>
          </w:tcPr>
          <w:p w14:paraId="6E99EDCE">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p>
        </w:tc>
      </w:tr>
      <w:tr w14:paraId="544F75A6">
        <w:tblPrEx>
          <w:tblCellMar>
            <w:top w:w="0" w:type="dxa"/>
            <w:left w:w="108" w:type="dxa"/>
            <w:bottom w:w="0" w:type="dxa"/>
            <w:right w:w="108" w:type="dxa"/>
          </w:tblCellMar>
        </w:tblPrEx>
        <w:trPr>
          <w:trHeight w:val="664" w:hRule="atLeast"/>
          <w:jc w:val="center"/>
        </w:trPr>
        <w:tc>
          <w:tcPr>
            <w:tcW w:w="4560" w:type="dxa"/>
          </w:tcPr>
          <w:p w14:paraId="570FED8C">
            <w:pPr>
              <w:spacing w:line="600" w:lineRule="exact"/>
              <w:rPr>
                <w:rFonts w:hint="eastAsia" w:ascii="宋体" w:hAnsi="宋体" w:eastAsia="宋体" w:cs="宋体"/>
                <w:sz w:val="24"/>
                <w:szCs w:val="24"/>
                <w:highlight w:val="none"/>
              </w:rPr>
            </w:pPr>
          </w:p>
        </w:tc>
        <w:tc>
          <w:tcPr>
            <w:tcW w:w="4171" w:type="dxa"/>
          </w:tcPr>
          <w:p w14:paraId="1B40FF7A">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21AFD370">
        <w:tblPrEx>
          <w:tblCellMar>
            <w:top w:w="0" w:type="dxa"/>
            <w:left w:w="108" w:type="dxa"/>
            <w:bottom w:w="0" w:type="dxa"/>
            <w:right w:w="108" w:type="dxa"/>
          </w:tblCellMar>
        </w:tblPrEx>
        <w:trPr>
          <w:trHeight w:val="675" w:hRule="atLeast"/>
          <w:jc w:val="center"/>
        </w:trPr>
        <w:tc>
          <w:tcPr>
            <w:tcW w:w="4560" w:type="dxa"/>
          </w:tcPr>
          <w:p w14:paraId="4B959D4C">
            <w:pPr>
              <w:spacing w:line="600" w:lineRule="exact"/>
              <w:rPr>
                <w:rFonts w:hint="eastAsia" w:ascii="宋体" w:hAnsi="宋体" w:eastAsia="宋体" w:cs="宋体"/>
                <w:sz w:val="24"/>
                <w:szCs w:val="24"/>
                <w:highlight w:val="none"/>
              </w:rPr>
            </w:pPr>
          </w:p>
        </w:tc>
        <w:tc>
          <w:tcPr>
            <w:tcW w:w="4171" w:type="dxa"/>
          </w:tcPr>
          <w:p w14:paraId="7BA34650">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bl>
    <w:p w14:paraId="6DFA5646">
      <w:pPr>
        <w:spacing w:line="600" w:lineRule="exact"/>
        <w:rPr>
          <w:rFonts w:ascii="宋体" w:hAnsi="宋体" w:eastAsia="宋体" w:cs="宋体"/>
          <w:sz w:val="24"/>
          <w:szCs w:val="24"/>
          <w:highlight w:val="none"/>
        </w:rPr>
      </w:pPr>
    </w:p>
    <w:p w14:paraId="0A6747FB">
      <w:pPr>
        <w:keepNext/>
        <w:keepLines/>
        <w:spacing w:line="400" w:lineRule="exact"/>
        <w:jc w:val="center"/>
        <w:outlineLvl w:val="2"/>
        <w:rPr>
          <w:rFonts w:ascii="宋体" w:hAnsi="宋体" w:eastAsia="宋体" w:cs="宋体"/>
          <w:b/>
          <w:bCs/>
          <w:sz w:val="32"/>
          <w:szCs w:val="32"/>
          <w:highlight w:val="none"/>
        </w:rPr>
      </w:pPr>
      <w:bookmarkStart w:id="154" w:name="_Toc484634651"/>
      <w:bookmarkStart w:id="155" w:name="_Toc430078998"/>
      <w:bookmarkStart w:id="156" w:name="_Toc413245382"/>
      <w:bookmarkStart w:id="157" w:name="_Toc438131917"/>
      <w:r>
        <w:rPr>
          <w:rFonts w:hint="eastAsia" w:ascii="宋体" w:hAnsi="宋体" w:eastAsia="宋体" w:cs="宋体"/>
          <w:b/>
          <w:bCs/>
          <w:sz w:val="32"/>
          <w:szCs w:val="32"/>
          <w:highlight w:val="none"/>
        </w:rPr>
        <w:br w:type="page"/>
      </w:r>
      <w:bookmarkStart w:id="158" w:name="_Toc28540"/>
    </w:p>
    <w:p w14:paraId="7ED25860">
      <w:pPr>
        <w:keepNext/>
        <w:keepLines/>
        <w:spacing w:line="400" w:lineRule="exact"/>
        <w:jc w:val="center"/>
        <w:outlineLvl w:val="2"/>
        <w:rPr>
          <w:rFonts w:ascii="宋体" w:hAnsi="宋体" w:eastAsia="宋体" w:cs="宋体"/>
          <w:bCs/>
          <w:sz w:val="32"/>
          <w:szCs w:val="32"/>
          <w:highlight w:val="none"/>
        </w:rPr>
      </w:pPr>
      <w:bookmarkStart w:id="159" w:name="_Toc167891500"/>
      <w:bookmarkStart w:id="160" w:name="_Toc163474715"/>
      <w:r>
        <w:rPr>
          <w:rFonts w:hint="eastAsia" w:ascii="宋体" w:hAnsi="宋体" w:eastAsia="宋体" w:cs="宋体"/>
          <w:b/>
          <w:bCs/>
          <w:sz w:val="32"/>
          <w:szCs w:val="32"/>
          <w:highlight w:val="none"/>
        </w:rPr>
        <w:t>第二部分 通用合同条款</w:t>
      </w:r>
      <w:bookmarkEnd w:id="154"/>
      <w:bookmarkEnd w:id="155"/>
      <w:bookmarkEnd w:id="156"/>
      <w:bookmarkEnd w:id="157"/>
      <w:bookmarkEnd w:id="158"/>
      <w:bookmarkEnd w:id="159"/>
      <w:bookmarkEnd w:id="160"/>
    </w:p>
    <w:p w14:paraId="7AF300EA">
      <w:pPr>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3CCCE8D">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通用合同条款直接引用《建设工程施工合同（示范文本）》（GF-2017-0201）第二部分“通用合同条款”内容。</w:t>
      </w:r>
    </w:p>
    <w:p w14:paraId="61950A7D">
      <w:pPr>
        <w:spacing w:line="360" w:lineRule="auto"/>
        <w:rPr>
          <w:rFonts w:ascii="宋体" w:hAnsi="宋体" w:eastAsia="宋体" w:cs="宋体"/>
          <w:sz w:val="24"/>
          <w:szCs w:val="24"/>
          <w:highlight w:val="none"/>
        </w:rPr>
      </w:pPr>
    </w:p>
    <w:p w14:paraId="430AB044">
      <w:pPr>
        <w:spacing w:line="400" w:lineRule="exact"/>
        <w:rPr>
          <w:rFonts w:ascii="宋体" w:hAnsi="宋体" w:eastAsia="宋体" w:cs="宋体"/>
          <w:sz w:val="24"/>
          <w:szCs w:val="24"/>
          <w:highlight w:val="none"/>
        </w:rPr>
      </w:pPr>
    </w:p>
    <w:p w14:paraId="57B1937D">
      <w:pPr>
        <w:spacing w:line="400" w:lineRule="exact"/>
        <w:rPr>
          <w:rFonts w:ascii="宋体" w:hAnsi="宋体" w:eastAsia="宋体" w:cs="宋体"/>
          <w:sz w:val="24"/>
          <w:szCs w:val="24"/>
          <w:highlight w:val="none"/>
        </w:rPr>
      </w:pPr>
    </w:p>
    <w:p w14:paraId="031C9CE7">
      <w:pPr>
        <w:spacing w:line="400" w:lineRule="exact"/>
        <w:rPr>
          <w:rFonts w:ascii="宋体" w:hAnsi="宋体" w:eastAsia="宋体" w:cs="宋体"/>
          <w:sz w:val="24"/>
          <w:szCs w:val="24"/>
          <w:highlight w:val="none"/>
        </w:rPr>
      </w:pPr>
    </w:p>
    <w:p w14:paraId="0095937C">
      <w:pPr>
        <w:keepNext/>
        <w:keepLines/>
        <w:spacing w:line="400" w:lineRule="exact"/>
        <w:jc w:val="center"/>
        <w:outlineLvl w:val="2"/>
        <w:rPr>
          <w:rFonts w:ascii="宋体" w:hAnsi="宋体" w:eastAsia="宋体" w:cs="宋体"/>
          <w:b/>
          <w:bCs/>
          <w:sz w:val="32"/>
          <w:szCs w:val="32"/>
          <w:highlight w:val="none"/>
        </w:rPr>
      </w:pPr>
      <w:r>
        <w:rPr>
          <w:rFonts w:hint="eastAsia" w:ascii="宋体" w:hAnsi="宋体" w:eastAsia="宋体" w:cs="宋体"/>
          <w:b/>
          <w:bCs/>
          <w:sz w:val="24"/>
          <w:szCs w:val="24"/>
          <w:highlight w:val="none"/>
        </w:rPr>
        <w:br w:type="page"/>
      </w:r>
      <w:bookmarkStart w:id="161" w:name="_Toc438131918"/>
      <w:bookmarkStart w:id="162" w:name="_Toc484634652"/>
      <w:bookmarkStart w:id="163" w:name="_Toc163474716"/>
      <w:bookmarkStart w:id="164" w:name="_Toc413245383"/>
      <w:bookmarkStart w:id="165" w:name="_Toc10735"/>
      <w:bookmarkStart w:id="166" w:name="_Toc167891501"/>
      <w:bookmarkStart w:id="167" w:name="_Toc430078999"/>
      <w:bookmarkStart w:id="168" w:name="_Toc272382562"/>
      <w:bookmarkStart w:id="169" w:name="_Toc152042545"/>
      <w:bookmarkStart w:id="170" w:name="_Toc152045766"/>
      <w:bookmarkStart w:id="171" w:name="_Toc274691319"/>
      <w:bookmarkStart w:id="172" w:name="_Toc280259786"/>
      <w:bookmarkStart w:id="173" w:name="_Toc354672402"/>
      <w:bookmarkStart w:id="174" w:name="_Toc144974736"/>
      <w:r>
        <w:rPr>
          <w:rFonts w:hint="eastAsia" w:ascii="宋体" w:hAnsi="宋体" w:eastAsia="宋体" w:cs="宋体"/>
          <w:b/>
          <w:bCs/>
          <w:sz w:val="32"/>
          <w:szCs w:val="32"/>
          <w:highlight w:val="none"/>
        </w:rPr>
        <w:t>第三部分 专用合同条款</w:t>
      </w:r>
      <w:bookmarkEnd w:id="161"/>
      <w:bookmarkEnd w:id="162"/>
      <w:bookmarkEnd w:id="163"/>
      <w:bookmarkEnd w:id="164"/>
      <w:bookmarkEnd w:id="165"/>
      <w:bookmarkEnd w:id="166"/>
      <w:bookmarkEnd w:id="167"/>
    </w:p>
    <w:p w14:paraId="7A7A8E8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75" w:name="_Toc430079000"/>
      <w:bookmarkStart w:id="176" w:name="_Toc6989"/>
      <w:r>
        <w:rPr>
          <w:rFonts w:hint="eastAsia" w:ascii="宋体" w:hAnsi="宋体" w:eastAsia="宋体" w:cs="宋体"/>
          <w:bCs/>
          <w:sz w:val="24"/>
          <w:szCs w:val="24"/>
          <w:highlight w:val="none"/>
        </w:rPr>
        <w:t>1. 一般约定</w:t>
      </w:r>
      <w:bookmarkEnd w:id="175"/>
      <w:bookmarkEnd w:id="176"/>
    </w:p>
    <w:p w14:paraId="12DE658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 词语定义</w:t>
      </w:r>
    </w:p>
    <w:p w14:paraId="2235850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1.1.1合同</w:t>
      </w:r>
    </w:p>
    <w:p w14:paraId="37DA9E4D">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1.1.1.10其他合同文件包括：</w:t>
      </w:r>
      <w:r>
        <w:rPr>
          <w:rFonts w:hint="eastAsia" w:ascii="宋体" w:hAnsi="宋体" w:eastAsia="宋体" w:cs="宋体"/>
          <w:kern w:val="0"/>
          <w:sz w:val="24"/>
          <w:szCs w:val="24"/>
          <w:highlight w:val="none"/>
          <w:u w:val="single"/>
        </w:rPr>
        <w:t>本合同履行过程中双方以书面形式签署的补充和修正文件（含会议纪要、工程变更、签证等修正文件）。</w:t>
      </w:r>
    </w:p>
    <w:p w14:paraId="6E1B0C5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1.1.2 合同当事人及其他相关方</w:t>
      </w:r>
    </w:p>
    <w:p w14:paraId="6FFF365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1.1.2.4监理人：</w:t>
      </w:r>
    </w:p>
    <w:p w14:paraId="32B8D69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具体详见监理合同</w:t>
      </w:r>
      <w:r>
        <w:rPr>
          <w:rFonts w:hint="eastAsia" w:ascii="宋体" w:hAnsi="宋体" w:eastAsia="宋体" w:cs="宋体"/>
          <w:sz w:val="24"/>
          <w:szCs w:val="24"/>
          <w:highlight w:val="none"/>
        </w:rPr>
        <w:t>；</w:t>
      </w:r>
    </w:p>
    <w:p w14:paraId="44DACB0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1.1.2.5 设计人：</w:t>
      </w:r>
    </w:p>
    <w:p w14:paraId="6069F5D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具体详见设计合同</w:t>
      </w:r>
      <w:r>
        <w:rPr>
          <w:rFonts w:hint="eastAsia" w:ascii="宋体" w:hAnsi="宋体" w:eastAsia="宋体" w:cs="宋体"/>
          <w:sz w:val="24"/>
          <w:szCs w:val="24"/>
          <w:highlight w:val="none"/>
        </w:rPr>
        <w:t>；</w:t>
      </w:r>
    </w:p>
    <w:p w14:paraId="3E14DE2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1.1.3 工程和设备</w:t>
      </w:r>
    </w:p>
    <w:p w14:paraId="720C29E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1.1.3.7 作为施工现场组成部分的其他场所包括：</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340B56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1.1.3.9 永久占地包括：</w:t>
      </w:r>
      <w:r>
        <w:rPr>
          <w:rFonts w:hint="eastAsia" w:ascii="宋体" w:hAnsi="宋体" w:eastAsia="宋体" w:cs="宋体"/>
          <w:sz w:val="24"/>
          <w:szCs w:val="24"/>
          <w:highlight w:val="none"/>
          <w:u w:val="single"/>
        </w:rPr>
        <w:t>为实施工程永久占用的土地</w:t>
      </w:r>
      <w:r>
        <w:rPr>
          <w:rFonts w:hint="eastAsia" w:ascii="宋体" w:hAnsi="宋体" w:eastAsia="宋体" w:cs="宋体"/>
          <w:kern w:val="0"/>
          <w:sz w:val="24"/>
          <w:szCs w:val="24"/>
          <w:highlight w:val="none"/>
        </w:rPr>
        <w:t>。</w:t>
      </w:r>
    </w:p>
    <w:p w14:paraId="2B4CE84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1.1.3.10 临时占地包括：</w:t>
      </w:r>
      <w:r>
        <w:rPr>
          <w:rFonts w:hint="eastAsia" w:ascii="宋体" w:hAnsi="宋体" w:eastAsia="宋体" w:cs="宋体"/>
          <w:sz w:val="24"/>
          <w:szCs w:val="24"/>
          <w:highlight w:val="none"/>
          <w:u w:val="single"/>
        </w:rPr>
        <w:t>为实施工程临时占用的土地</w:t>
      </w:r>
      <w:r>
        <w:rPr>
          <w:rFonts w:hint="eastAsia" w:ascii="宋体" w:hAnsi="宋体" w:eastAsia="宋体" w:cs="宋体"/>
          <w:kern w:val="0"/>
          <w:sz w:val="24"/>
          <w:szCs w:val="24"/>
          <w:highlight w:val="none"/>
        </w:rPr>
        <w:t>。</w:t>
      </w:r>
    </w:p>
    <w:p w14:paraId="1AD0BB6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1.3法律 </w:t>
      </w:r>
    </w:p>
    <w:p w14:paraId="44B624F3">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rPr>
        <w:t>《中华人民共和国民法典》、《中华人民共和国建筑法》、《建筑工程质量管理条例》、《建设工程施工及验收规范》、《建设工程质量保证金管理暂行办法》、《建筑工程价款结算暂行办法》等工程地点所在省、市相关工程建设管理法律、法规及政策性调整。</w:t>
      </w:r>
    </w:p>
    <w:p w14:paraId="4E1AA72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 标准和规范</w:t>
      </w:r>
    </w:p>
    <w:p w14:paraId="7EB104B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按招标文件、本工程设计文件和图纸载明的相关的施工及验收规范和国家及地方标准的计价规范等。相关标准，规范文件资料由承包人自行筹集，费用已包含在合同总价中。</w:t>
      </w:r>
    </w:p>
    <w:p w14:paraId="0C9336E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1.4.2 发包人提供国外标准、规范的名称：</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2645BD42">
      <w:pPr>
        <w:pageBreakBefore w:val="0"/>
        <w:widowControl w:val="0"/>
        <w:kinsoku/>
        <w:wordWrap/>
        <w:overflowPunct/>
        <w:topLinePunct w:val="0"/>
        <w:bidi w:val="0"/>
        <w:spacing w:line="440" w:lineRule="exact"/>
        <w:ind w:firstLine="1200" w:firstLineChars="5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发包人提供国外标准、规范的份数：</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7FD8CA81">
      <w:pPr>
        <w:pageBreakBefore w:val="0"/>
        <w:widowControl w:val="0"/>
        <w:kinsoku/>
        <w:wordWrap/>
        <w:overflowPunct/>
        <w:topLinePunct w:val="0"/>
        <w:bidi w:val="0"/>
        <w:spacing w:line="440" w:lineRule="exact"/>
        <w:ind w:firstLine="1200" w:firstLineChars="500"/>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发包人提供国外标准、规范的名称：</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5B164DB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1.4.3发包人对工程的技术标准和功能要求的特殊要求：</w:t>
      </w:r>
      <w:r>
        <w:rPr>
          <w:rFonts w:hint="eastAsia" w:ascii="宋体" w:hAnsi="宋体" w:eastAsia="宋体" w:cs="宋体"/>
          <w:b/>
          <w:sz w:val="24"/>
          <w:szCs w:val="24"/>
          <w:highlight w:val="none"/>
          <w:u w:val="single"/>
        </w:rPr>
        <w:t>具体详见施工图纸</w:t>
      </w:r>
      <w:r>
        <w:rPr>
          <w:rFonts w:hint="eastAsia" w:ascii="宋体" w:hAnsi="宋体" w:eastAsia="宋体" w:cs="宋体"/>
          <w:sz w:val="24"/>
          <w:szCs w:val="24"/>
          <w:highlight w:val="none"/>
        </w:rPr>
        <w:t>。</w:t>
      </w:r>
    </w:p>
    <w:p w14:paraId="6B8F5E8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 合同文件的优先顺序</w:t>
      </w:r>
    </w:p>
    <w:p w14:paraId="4AD9C19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（1）合同协议书 (双方有关工程的洽商、变更等书面协议或文件) </w:t>
      </w:r>
    </w:p>
    <w:p w14:paraId="6C94CD5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（2）中标通知书；</w:t>
      </w:r>
    </w:p>
    <w:p w14:paraId="2717524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（3）投标函及其附录； </w:t>
      </w:r>
    </w:p>
    <w:p w14:paraId="1C5AB12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（4）专用合同条款及其附件；</w:t>
      </w:r>
    </w:p>
    <w:p w14:paraId="2FA320E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（5）招标文件及其附件、答疑文件、补遗文件；</w:t>
      </w:r>
    </w:p>
    <w:p w14:paraId="0217D1F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（6）通用合同条款；</w:t>
      </w:r>
    </w:p>
    <w:p w14:paraId="784A939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（7）承包人投标文件及其附件（含评标期间的澄清文件和补充、承诺资料）；</w:t>
      </w:r>
    </w:p>
    <w:p w14:paraId="24EF629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（8）技术标准和要求；</w:t>
      </w:r>
    </w:p>
    <w:p w14:paraId="1F3ADAD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（9）图纸；</w:t>
      </w:r>
    </w:p>
    <w:p w14:paraId="685E12F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（10）已标价工程量清单或预算书；</w:t>
      </w:r>
    </w:p>
    <w:p w14:paraId="152D1D4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（11）在合同订立过程中形成的与合同有关的文件等其他合同文件。</w:t>
      </w:r>
    </w:p>
    <w:p w14:paraId="181140F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 图纸和承包人文件</w:t>
      </w:r>
      <w:r>
        <w:rPr>
          <w:rFonts w:hint="eastAsia" w:ascii="宋体" w:hAnsi="宋体" w:eastAsia="宋体" w:cs="宋体"/>
          <w:sz w:val="24"/>
          <w:szCs w:val="24"/>
          <w:highlight w:val="none"/>
        </w:rPr>
        <w:tab/>
      </w:r>
    </w:p>
    <w:p w14:paraId="2BEA1F5C">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 图纸的提供</w:t>
      </w:r>
    </w:p>
    <w:p w14:paraId="1DEFAC27">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发包人向承包人提供图纸的期限：</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31BC4D5A">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发包人向承包人提供图纸的数量：</w:t>
      </w:r>
      <w:r>
        <w:rPr>
          <w:rFonts w:hint="eastAsia" w:ascii="宋体" w:hAnsi="宋体" w:eastAsia="宋体" w:cs="宋体"/>
          <w:sz w:val="24"/>
          <w:szCs w:val="24"/>
          <w:highlight w:val="none"/>
          <w:u w:val="single"/>
        </w:rPr>
        <w:t>两套</w:t>
      </w:r>
      <w:r>
        <w:rPr>
          <w:rFonts w:hint="eastAsia" w:ascii="宋体" w:hAnsi="宋体" w:eastAsia="宋体" w:cs="宋体"/>
          <w:sz w:val="24"/>
          <w:szCs w:val="24"/>
          <w:highlight w:val="none"/>
        </w:rPr>
        <w:t>；</w:t>
      </w:r>
    </w:p>
    <w:p w14:paraId="34A8B164">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发包人向承包人提供图纸的内容：</w:t>
      </w:r>
      <w:r>
        <w:rPr>
          <w:rFonts w:hint="eastAsia" w:ascii="宋体" w:hAnsi="宋体" w:eastAsia="宋体" w:cs="宋体"/>
          <w:sz w:val="24"/>
          <w:szCs w:val="24"/>
          <w:highlight w:val="none"/>
          <w:u w:val="single"/>
        </w:rPr>
        <w:t>详见图纸</w:t>
      </w:r>
      <w:r>
        <w:rPr>
          <w:rFonts w:hint="eastAsia" w:ascii="宋体" w:hAnsi="宋体" w:eastAsia="宋体" w:cs="宋体"/>
          <w:sz w:val="24"/>
          <w:szCs w:val="24"/>
          <w:highlight w:val="none"/>
        </w:rPr>
        <w:t>。</w:t>
      </w:r>
    </w:p>
    <w:p w14:paraId="453A7F2B">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1.6.4 承包人文件</w:t>
      </w:r>
    </w:p>
    <w:p w14:paraId="0681F2E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需要由承包人提供的文件，包括：</w:t>
      </w:r>
      <w:r>
        <w:rPr>
          <w:rFonts w:hint="eastAsia" w:ascii="宋体" w:hAnsi="宋体" w:eastAsia="宋体" w:cs="宋体"/>
          <w:sz w:val="24"/>
          <w:szCs w:val="24"/>
          <w:highlight w:val="none"/>
          <w:u w:val="single"/>
        </w:rPr>
        <w:t>由其编制的与工程施工有关的文件</w:t>
      </w:r>
      <w:r>
        <w:rPr>
          <w:rFonts w:hint="eastAsia" w:ascii="宋体" w:hAnsi="宋体" w:eastAsia="宋体" w:cs="宋体"/>
          <w:sz w:val="24"/>
          <w:szCs w:val="24"/>
          <w:highlight w:val="none"/>
        </w:rPr>
        <w:t>；</w:t>
      </w:r>
    </w:p>
    <w:p w14:paraId="2BDFE6C2">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承包人提供的文件的期限为：</w:t>
      </w:r>
      <w:r>
        <w:rPr>
          <w:rFonts w:hint="eastAsia" w:ascii="宋体" w:hAnsi="宋体" w:eastAsia="宋体" w:cs="宋体"/>
          <w:sz w:val="24"/>
          <w:szCs w:val="24"/>
          <w:highlight w:val="none"/>
          <w:u w:val="single"/>
        </w:rPr>
        <w:t>按发包人要求提供</w:t>
      </w:r>
      <w:r>
        <w:rPr>
          <w:rFonts w:hint="eastAsia" w:ascii="宋体" w:hAnsi="宋体" w:eastAsia="宋体" w:cs="宋体"/>
          <w:sz w:val="24"/>
          <w:szCs w:val="24"/>
          <w:highlight w:val="none"/>
        </w:rPr>
        <w:t>；</w:t>
      </w:r>
    </w:p>
    <w:p w14:paraId="5382656E">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承包人提供的文件的数量为：</w:t>
      </w:r>
      <w:r>
        <w:rPr>
          <w:rFonts w:hint="eastAsia" w:ascii="宋体" w:hAnsi="宋体" w:eastAsia="宋体" w:cs="宋体"/>
          <w:sz w:val="24"/>
          <w:szCs w:val="24"/>
          <w:highlight w:val="none"/>
          <w:u w:val="single"/>
        </w:rPr>
        <w:t>按发包人要求提供</w:t>
      </w:r>
      <w:r>
        <w:rPr>
          <w:rFonts w:hint="eastAsia" w:ascii="宋体" w:hAnsi="宋体" w:eastAsia="宋体" w:cs="宋体"/>
          <w:sz w:val="24"/>
          <w:szCs w:val="24"/>
          <w:highlight w:val="none"/>
        </w:rPr>
        <w:t>；</w:t>
      </w:r>
    </w:p>
    <w:p w14:paraId="07BE3303">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承包人提供的文件的形式为：</w:t>
      </w:r>
      <w:r>
        <w:rPr>
          <w:rFonts w:hint="eastAsia" w:ascii="宋体" w:hAnsi="宋体" w:eastAsia="宋体" w:cs="宋体"/>
          <w:sz w:val="24"/>
          <w:szCs w:val="24"/>
          <w:highlight w:val="none"/>
          <w:u w:val="single"/>
        </w:rPr>
        <w:t>发包人指定的形式</w:t>
      </w:r>
      <w:r>
        <w:rPr>
          <w:rFonts w:hint="eastAsia" w:ascii="宋体" w:hAnsi="宋体" w:eastAsia="宋体" w:cs="宋体"/>
          <w:sz w:val="24"/>
          <w:szCs w:val="24"/>
          <w:highlight w:val="none"/>
        </w:rPr>
        <w:t>；</w:t>
      </w:r>
    </w:p>
    <w:p w14:paraId="25E894D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发包人审批承包人文件的期限：</w:t>
      </w:r>
      <w:r>
        <w:rPr>
          <w:rFonts w:hint="eastAsia" w:ascii="宋体" w:hAnsi="宋体" w:eastAsia="宋体" w:cs="宋体"/>
          <w:sz w:val="24"/>
          <w:szCs w:val="24"/>
          <w:highlight w:val="none"/>
          <w:u w:val="single"/>
        </w:rPr>
        <w:t>收到承包人文件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7日内</w:t>
      </w:r>
      <w:r>
        <w:rPr>
          <w:rFonts w:hint="eastAsia" w:ascii="宋体" w:hAnsi="宋体" w:eastAsia="宋体" w:cs="宋体"/>
          <w:sz w:val="24"/>
          <w:szCs w:val="24"/>
          <w:highlight w:val="none"/>
        </w:rPr>
        <w:t>。</w:t>
      </w:r>
    </w:p>
    <w:p w14:paraId="53B0288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1.6.5 现场图纸准备</w:t>
      </w:r>
    </w:p>
    <w:p w14:paraId="7840E03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关于现场图纸准备的约定：</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1356E0E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1.7 联络</w:t>
      </w:r>
    </w:p>
    <w:p w14:paraId="4D80F230">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1.7.1发包人和承包人应当在</w:t>
      </w:r>
      <w:r>
        <w:rPr>
          <w:rFonts w:hint="eastAsia" w:ascii="宋体" w:hAnsi="宋体" w:eastAsia="宋体" w:cs="宋体"/>
          <w:sz w:val="24"/>
          <w:szCs w:val="24"/>
          <w:highlight w:val="none"/>
          <w:u w:val="single"/>
        </w:rPr>
        <w:t>7</w:t>
      </w:r>
      <w:r>
        <w:rPr>
          <w:rFonts w:hint="eastAsia" w:ascii="宋体" w:hAnsi="宋体" w:eastAsia="宋体" w:cs="宋体"/>
          <w:kern w:val="0"/>
          <w:sz w:val="24"/>
          <w:szCs w:val="24"/>
          <w:highlight w:val="none"/>
        </w:rPr>
        <w:t>天内将与合同有关的通知、批准、证明、证书、指示、指令、要求、请求、同意、意见、确定和决定等书面函件送达对方当事人。</w:t>
      </w:r>
    </w:p>
    <w:p w14:paraId="70CE743E">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1.7.2 发包人接收文件的地点：</w:t>
      </w:r>
      <w:r>
        <w:rPr>
          <w:rFonts w:hint="eastAsia" w:ascii="宋体" w:hAnsi="宋体" w:eastAsia="宋体" w:cs="宋体"/>
          <w:b/>
          <w:bCs/>
          <w:sz w:val="24"/>
          <w:szCs w:val="24"/>
          <w:highlight w:val="none"/>
          <w:u w:val="single"/>
        </w:rPr>
        <w:t xml:space="preserve">                          </w:t>
      </w:r>
      <w:r>
        <w:rPr>
          <w:rFonts w:hint="eastAsia" w:ascii="宋体" w:hAnsi="宋体" w:eastAsia="宋体" w:cs="宋体"/>
          <w:kern w:val="0"/>
          <w:sz w:val="24"/>
          <w:szCs w:val="24"/>
          <w:highlight w:val="none"/>
        </w:rPr>
        <w:t>；</w:t>
      </w:r>
    </w:p>
    <w:p w14:paraId="4015B47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发包人指定的接收人为：</w:t>
      </w:r>
      <w:r>
        <w:rPr>
          <w:rFonts w:hint="eastAsia" w:ascii="宋体" w:hAnsi="宋体" w:eastAsia="宋体" w:cs="宋体"/>
          <w:sz w:val="24"/>
          <w:szCs w:val="24"/>
          <w:highlight w:val="none"/>
          <w:u w:val="single"/>
        </w:rPr>
        <w:t>                </w:t>
      </w:r>
      <w:r>
        <w:rPr>
          <w:rFonts w:hint="eastAsia" w:ascii="宋体" w:hAnsi="宋体" w:eastAsia="宋体" w:cs="宋体"/>
          <w:kern w:val="0"/>
          <w:sz w:val="24"/>
          <w:szCs w:val="24"/>
          <w:highlight w:val="none"/>
        </w:rPr>
        <w:t>。</w:t>
      </w:r>
    </w:p>
    <w:p w14:paraId="1A5A73A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承包人接收文件的地点：</w:t>
      </w:r>
      <w:r>
        <w:rPr>
          <w:rFonts w:hint="eastAsia" w:ascii="宋体" w:hAnsi="宋体" w:eastAsia="宋体" w:cs="宋体"/>
          <w:sz w:val="24"/>
          <w:szCs w:val="24"/>
          <w:highlight w:val="none"/>
          <w:u w:val="single"/>
        </w:rPr>
        <w:t>                          </w:t>
      </w:r>
      <w:r>
        <w:rPr>
          <w:rFonts w:hint="eastAsia" w:ascii="宋体" w:hAnsi="宋体" w:eastAsia="宋体" w:cs="宋体"/>
          <w:kern w:val="0"/>
          <w:sz w:val="24"/>
          <w:szCs w:val="24"/>
          <w:highlight w:val="none"/>
        </w:rPr>
        <w:t>；</w:t>
      </w:r>
    </w:p>
    <w:p w14:paraId="16226CD1">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承包人指定的接收人为：</w:t>
      </w:r>
      <w:r>
        <w:rPr>
          <w:rFonts w:hint="eastAsia" w:ascii="宋体" w:hAnsi="宋体" w:eastAsia="宋体" w:cs="宋体"/>
          <w:sz w:val="24"/>
          <w:szCs w:val="24"/>
          <w:highlight w:val="none"/>
          <w:u w:val="single"/>
        </w:rPr>
        <w:t>              </w:t>
      </w:r>
      <w:r>
        <w:rPr>
          <w:rFonts w:hint="eastAsia" w:ascii="宋体" w:hAnsi="宋体" w:eastAsia="宋体" w:cs="宋体"/>
          <w:kern w:val="0"/>
          <w:sz w:val="24"/>
          <w:szCs w:val="24"/>
          <w:highlight w:val="none"/>
        </w:rPr>
        <w:t>。</w:t>
      </w:r>
    </w:p>
    <w:p w14:paraId="17645A8A">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监理人接收文件的地点：</w:t>
      </w:r>
      <w:r>
        <w:rPr>
          <w:rFonts w:hint="eastAsia" w:ascii="宋体" w:hAnsi="宋体" w:eastAsia="宋体" w:cs="宋体"/>
          <w:sz w:val="24"/>
          <w:szCs w:val="24"/>
          <w:highlight w:val="none"/>
          <w:u w:val="single"/>
        </w:rPr>
        <w:t> </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kern w:val="0"/>
          <w:sz w:val="24"/>
          <w:szCs w:val="24"/>
          <w:highlight w:val="none"/>
        </w:rPr>
        <w:t>；</w:t>
      </w:r>
    </w:p>
    <w:p w14:paraId="5F4561F4">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监理人指定的接收人为：</w:t>
      </w:r>
      <w:r>
        <w:rPr>
          <w:rFonts w:hint="eastAsia" w:ascii="宋体" w:hAnsi="宋体" w:eastAsia="宋体" w:cs="宋体"/>
          <w:sz w:val="24"/>
          <w:szCs w:val="24"/>
          <w:highlight w:val="none"/>
          <w:u w:val="single"/>
        </w:rPr>
        <w:t>                </w:t>
      </w:r>
      <w:r>
        <w:rPr>
          <w:rFonts w:hint="eastAsia" w:ascii="宋体" w:hAnsi="宋体" w:eastAsia="宋体" w:cs="宋体"/>
          <w:kern w:val="0"/>
          <w:sz w:val="24"/>
          <w:szCs w:val="24"/>
          <w:highlight w:val="none"/>
        </w:rPr>
        <w:t>。</w:t>
      </w:r>
    </w:p>
    <w:p w14:paraId="59571FF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 交通运输</w:t>
      </w:r>
    </w:p>
    <w:p w14:paraId="4AF47C20">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1.10.1 出入现场的权利</w:t>
      </w:r>
    </w:p>
    <w:p w14:paraId="1BA2781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关于出入现场的权利的约定：</w:t>
      </w:r>
      <w:r>
        <w:rPr>
          <w:rFonts w:hint="eastAsia" w:ascii="宋体" w:hAnsi="宋体" w:eastAsia="宋体" w:cs="宋体"/>
          <w:sz w:val="24"/>
          <w:szCs w:val="24"/>
          <w:highlight w:val="none"/>
          <w:u w:val="single"/>
        </w:rPr>
        <w:t>出入施工场地道路按现状。办理出入施工场地的道路通行权由承包人自行负责并承担相关费用。承包人在投标前已充分勘察现场，为实施合同工程所需修建的场外设施由承包人负责，费用已包含在合同价款内</w:t>
      </w:r>
      <w:r>
        <w:rPr>
          <w:rFonts w:hint="eastAsia" w:ascii="宋体" w:hAnsi="宋体" w:eastAsia="宋体" w:cs="宋体"/>
          <w:sz w:val="24"/>
          <w:szCs w:val="24"/>
          <w:highlight w:val="none"/>
        </w:rPr>
        <w:t>。</w:t>
      </w:r>
    </w:p>
    <w:p w14:paraId="4858DD5E">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1.10.3 场内交通</w:t>
      </w:r>
    </w:p>
    <w:p w14:paraId="27921C3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关于场外交通和场内交通的边界的约定：</w:t>
      </w:r>
      <w:r>
        <w:rPr>
          <w:rFonts w:hint="eastAsia" w:ascii="宋体" w:hAnsi="宋体" w:eastAsia="宋体" w:cs="宋体"/>
          <w:sz w:val="24"/>
          <w:szCs w:val="24"/>
          <w:highlight w:val="none"/>
          <w:u w:val="single"/>
        </w:rPr>
        <w:t>施工临时用地总平面图范围内的属于场内交通。</w:t>
      </w:r>
      <w:r>
        <w:rPr>
          <w:rFonts w:hint="eastAsia" w:ascii="宋体" w:hAnsi="宋体" w:eastAsia="宋体" w:cs="宋体"/>
          <w:spacing w:val="1"/>
          <w:kern w:val="0"/>
          <w:sz w:val="24"/>
          <w:szCs w:val="24"/>
          <w:highlight w:val="none"/>
          <w:u w:val="single"/>
        </w:rPr>
        <w:t>施工范</w:t>
      </w:r>
      <w:r>
        <w:rPr>
          <w:rFonts w:hint="eastAsia" w:ascii="宋体" w:hAnsi="宋体" w:eastAsia="宋体" w:cs="宋体"/>
          <w:spacing w:val="3"/>
          <w:kern w:val="0"/>
          <w:sz w:val="24"/>
          <w:szCs w:val="24"/>
          <w:highlight w:val="none"/>
          <w:u w:val="single"/>
        </w:rPr>
        <w:t>围</w:t>
      </w:r>
      <w:r>
        <w:rPr>
          <w:rFonts w:hint="eastAsia" w:ascii="宋体" w:hAnsi="宋体" w:eastAsia="宋体" w:cs="宋体"/>
          <w:spacing w:val="2"/>
          <w:kern w:val="0"/>
          <w:sz w:val="24"/>
          <w:szCs w:val="24"/>
          <w:highlight w:val="none"/>
          <w:u w:val="single"/>
        </w:rPr>
        <w:t>外的公共道路按现状，承包人</w:t>
      </w:r>
      <w:r>
        <w:rPr>
          <w:rFonts w:hint="eastAsia" w:ascii="宋体" w:hAnsi="宋体" w:eastAsia="宋体" w:cs="宋体"/>
          <w:kern w:val="0"/>
          <w:sz w:val="24"/>
          <w:szCs w:val="24"/>
          <w:highlight w:val="none"/>
          <w:u w:val="single"/>
        </w:rPr>
        <w:t>自行办理施工范围外道路通行</w:t>
      </w:r>
      <w:r>
        <w:rPr>
          <w:rFonts w:hint="eastAsia" w:ascii="宋体" w:hAnsi="宋体" w:eastAsia="宋体" w:cs="宋体"/>
          <w:spacing w:val="-4"/>
          <w:kern w:val="0"/>
          <w:sz w:val="24"/>
          <w:szCs w:val="24"/>
          <w:highlight w:val="none"/>
          <w:u w:val="single"/>
        </w:rPr>
        <w:t>、</w:t>
      </w:r>
      <w:r>
        <w:rPr>
          <w:rFonts w:hint="eastAsia" w:ascii="宋体" w:hAnsi="宋体" w:eastAsia="宋体" w:cs="宋体"/>
          <w:kern w:val="0"/>
          <w:sz w:val="24"/>
          <w:szCs w:val="24"/>
          <w:highlight w:val="none"/>
          <w:u w:val="single"/>
        </w:rPr>
        <w:t>修建场外设施及公共设施使用的相关手续</w:t>
      </w:r>
      <w:r>
        <w:rPr>
          <w:rFonts w:hint="eastAsia" w:ascii="宋体" w:hAnsi="宋体" w:eastAsia="宋体" w:cs="宋体"/>
          <w:spacing w:val="-2"/>
          <w:kern w:val="0"/>
          <w:sz w:val="24"/>
          <w:szCs w:val="24"/>
          <w:highlight w:val="none"/>
          <w:u w:val="single"/>
        </w:rPr>
        <w:t>，</w:t>
      </w:r>
      <w:r>
        <w:rPr>
          <w:rFonts w:hint="eastAsia" w:ascii="宋体" w:hAnsi="宋体" w:eastAsia="宋体" w:cs="宋体"/>
          <w:kern w:val="0"/>
          <w:sz w:val="24"/>
          <w:szCs w:val="24"/>
          <w:highlight w:val="none"/>
          <w:u w:val="single"/>
        </w:rPr>
        <w:t>服从当地管理部门的管理，费用由承包人自行考虑和负责，已包含在合同价款内</w:t>
      </w:r>
      <w:r>
        <w:rPr>
          <w:rFonts w:hint="eastAsia" w:ascii="宋体" w:hAnsi="宋体" w:eastAsia="宋体" w:cs="宋体"/>
          <w:kern w:val="0"/>
          <w:sz w:val="24"/>
          <w:szCs w:val="24"/>
          <w:highlight w:val="none"/>
        </w:rPr>
        <w:t>。</w:t>
      </w:r>
    </w:p>
    <w:p w14:paraId="0255E1B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sz w:val="24"/>
          <w:szCs w:val="24"/>
          <w:highlight w:val="none"/>
          <w:u w:val="single"/>
        </w:rPr>
        <w:t>场内道路和交通设施发包人不提供，由承包人负责修建、维修、养护和管理，有关费用由承包人自行考虑和负责，</w:t>
      </w:r>
      <w:r>
        <w:rPr>
          <w:rFonts w:hint="eastAsia" w:ascii="宋体" w:hAnsi="宋体" w:eastAsia="宋体" w:cs="宋体"/>
          <w:kern w:val="0"/>
          <w:sz w:val="24"/>
          <w:szCs w:val="24"/>
          <w:highlight w:val="none"/>
          <w:u w:val="single"/>
        </w:rPr>
        <w:t>已包含在合同价款内</w:t>
      </w:r>
      <w:r>
        <w:rPr>
          <w:rFonts w:hint="eastAsia" w:ascii="宋体" w:hAnsi="宋体" w:eastAsia="宋体" w:cs="宋体"/>
          <w:kern w:val="0"/>
          <w:sz w:val="24"/>
          <w:szCs w:val="24"/>
          <w:highlight w:val="none"/>
        </w:rPr>
        <w:t>。</w:t>
      </w:r>
    </w:p>
    <w:p w14:paraId="16DB994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1.10.4超大件和超重件的运输</w:t>
      </w:r>
    </w:p>
    <w:p w14:paraId="614346A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4"/>
          <w:highlight w:val="none"/>
          <w:u w:val="single"/>
        </w:rPr>
        <w:t>承包人</w:t>
      </w:r>
      <w:r>
        <w:rPr>
          <w:rFonts w:hint="eastAsia" w:ascii="宋体" w:hAnsi="宋体" w:eastAsia="宋体" w:cs="宋体"/>
          <w:sz w:val="24"/>
          <w:szCs w:val="24"/>
          <w:highlight w:val="none"/>
        </w:rPr>
        <w:t>承担。</w:t>
      </w:r>
    </w:p>
    <w:p w14:paraId="59DF3E7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 知识产权</w:t>
      </w:r>
    </w:p>
    <w:p w14:paraId="59C4A6F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highlight w:val="none"/>
          <w:u w:val="single"/>
        </w:rPr>
        <w:t>承包人可以为实现合同目的而复制、使用此类文件，但不能用于与合同无关的其他事项。</w:t>
      </w:r>
    </w:p>
    <w:p w14:paraId="3A07C89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4"/>
          <w:highlight w:val="none"/>
          <w:u w:val="single"/>
        </w:rPr>
        <w:t>未经发包人书面同意，承包人不得为了合同以外的目的而复制、使用上述文件或将之提供给任何第三方。</w:t>
      </w:r>
    </w:p>
    <w:p w14:paraId="5963943E">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4"/>
          <w:highlight w:val="none"/>
          <w:u w:val="single"/>
        </w:rPr>
        <w:t>除署名权以外的著作权属于发包人</w:t>
      </w:r>
      <w:r>
        <w:rPr>
          <w:rFonts w:hint="eastAsia" w:ascii="宋体" w:hAnsi="宋体" w:eastAsia="宋体" w:cs="宋体"/>
          <w:sz w:val="24"/>
          <w:szCs w:val="24"/>
          <w:highlight w:val="none"/>
        </w:rPr>
        <w:t>。</w:t>
      </w:r>
    </w:p>
    <w:p w14:paraId="586BF9FE">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执行通用条款</w:t>
      </w:r>
      <w:r>
        <w:rPr>
          <w:rFonts w:hint="eastAsia" w:ascii="宋体" w:hAnsi="宋体" w:eastAsia="宋体" w:cs="宋体"/>
          <w:sz w:val="24"/>
          <w:szCs w:val="24"/>
          <w:highlight w:val="none"/>
        </w:rPr>
        <w:t>。</w:t>
      </w:r>
    </w:p>
    <w:p w14:paraId="24E69D24">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已包含在</w:t>
      </w:r>
      <w:r>
        <w:rPr>
          <w:rFonts w:hint="eastAsia" w:ascii="宋体" w:hAnsi="宋体" w:eastAsia="宋体" w:cs="宋体"/>
          <w:kern w:val="0"/>
          <w:sz w:val="24"/>
          <w:szCs w:val="24"/>
          <w:highlight w:val="none"/>
          <w:u w:val="single"/>
        </w:rPr>
        <w:t>合同价款</w:t>
      </w:r>
      <w:r>
        <w:rPr>
          <w:rFonts w:hint="eastAsia" w:ascii="宋体" w:hAnsi="宋体" w:eastAsia="宋体" w:cs="宋体"/>
          <w:sz w:val="24"/>
          <w:szCs w:val="24"/>
          <w:highlight w:val="none"/>
          <w:u w:val="single"/>
        </w:rPr>
        <w:t>内。</w:t>
      </w:r>
    </w:p>
    <w:p w14:paraId="550CA77E">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1.13工程量清单错误的修正</w:t>
      </w:r>
    </w:p>
    <w:p w14:paraId="0541B825">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4"/>
          <w:highlight w:val="none"/>
          <w:u w:val="single"/>
        </w:rPr>
        <w:t>是</w:t>
      </w:r>
      <w:r>
        <w:rPr>
          <w:rFonts w:hint="eastAsia" w:ascii="宋体" w:hAnsi="宋体" w:eastAsia="宋体" w:cs="宋体"/>
          <w:sz w:val="24"/>
          <w:szCs w:val="24"/>
          <w:highlight w:val="none"/>
        </w:rPr>
        <w:t>。</w:t>
      </w:r>
    </w:p>
    <w:p w14:paraId="231D2903">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允许调整合同价格的工程量偏差范围：</w:t>
      </w:r>
      <w:r>
        <w:rPr>
          <w:rFonts w:hint="eastAsia" w:ascii="宋体" w:hAnsi="宋体" w:eastAsia="宋体" w:cs="宋体"/>
          <w:sz w:val="24"/>
          <w:szCs w:val="24"/>
          <w:highlight w:val="none"/>
          <w:u w:val="single"/>
        </w:rPr>
        <w:t>具体详见本合同10.4项</w:t>
      </w:r>
      <w:r>
        <w:rPr>
          <w:rFonts w:hint="eastAsia" w:ascii="宋体" w:hAnsi="宋体" w:eastAsia="宋体" w:cs="宋体"/>
          <w:sz w:val="24"/>
          <w:szCs w:val="24"/>
          <w:highlight w:val="none"/>
        </w:rPr>
        <w:t>。</w:t>
      </w:r>
    </w:p>
    <w:p w14:paraId="5DD95B32">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p>
    <w:p w14:paraId="66DDC609">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77" w:name="_Toc430079001"/>
      <w:bookmarkStart w:id="178" w:name="_Toc16964"/>
      <w:r>
        <w:rPr>
          <w:rFonts w:hint="eastAsia" w:ascii="宋体" w:hAnsi="宋体" w:eastAsia="宋体" w:cs="宋体"/>
          <w:bCs/>
          <w:sz w:val="24"/>
          <w:szCs w:val="24"/>
          <w:highlight w:val="none"/>
        </w:rPr>
        <w:t>2. 发包人</w:t>
      </w:r>
      <w:bookmarkEnd w:id="177"/>
      <w:bookmarkEnd w:id="178"/>
    </w:p>
    <w:p w14:paraId="2CB3610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2.2 发包人代表</w:t>
      </w:r>
    </w:p>
    <w:p w14:paraId="327ED5B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发包人代表：</w:t>
      </w:r>
    </w:p>
    <w:p w14:paraId="6B7F7BD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51ED375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24B866F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736BECC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7ABA26B8">
      <w:pPr>
        <w:pageBreakBefore w:val="0"/>
        <w:widowControl w:val="0"/>
        <w:kinsoku/>
        <w:wordWrap/>
        <w:overflowPunct/>
        <w:topLinePunct w:val="0"/>
        <w:bidi w:val="0"/>
        <w:spacing w:line="440" w:lineRule="exact"/>
        <w:ind w:firstLine="480" w:firstLineChars="200"/>
        <w:textAlignment w:val="auto"/>
        <w:rPr>
          <w:rFonts w:ascii="宋体" w:hAnsi="宋体" w:eastAsia="宋体" w:cs="宋体"/>
          <w:szCs w:val="21"/>
          <w:highlight w:val="none"/>
          <w:u w:val="singl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本工程中涉及变更工程、调整合同价格、变更工期、索赔处理、影响工程款支付与结算等问题须发包人书面确认，发包人代表无权单独作出任何签证、确认或承诺。</w:t>
      </w:r>
    </w:p>
    <w:p w14:paraId="36A9BD82">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2.4 施工现场、施工条件和基础资料的提供</w:t>
      </w:r>
    </w:p>
    <w:p w14:paraId="59AEB08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2.4.1 提供施工现场</w:t>
      </w:r>
    </w:p>
    <w:p w14:paraId="1CF746C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关于发包人移交施工现场的期限要求：</w:t>
      </w:r>
      <w:r>
        <w:rPr>
          <w:rFonts w:hint="eastAsia" w:ascii="宋体" w:hAnsi="宋体" w:eastAsia="宋体" w:cs="宋体"/>
          <w:sz w:val="24"/>
          <w:szCs w:val="24"/>
          <w:highlight w:val="none"/>
          <w:u w:val="single"/>
        </w:rPr>
        <w:t>工程开工前</w:t>
      </w:r>
      <w:r>
        <w:rPr>
          <w:rFonts w:hint="eastAsia" w:ascii="宋体" w:hAnsi="宋体" w:eastAsia="宋体" w:cs="宋体"/>
          <w:sz w:val="24"/>
          <w:szCs w:val="24"/>
          <w:highlight w:val="none"/>
        </w:rPr>
        <w:t>。</w:t>
      </w:r>
    </w:p>
    <w:p w14:paraId="13CFC1D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2.4.2 提供施工条件</w:t>
      </w:r>
    </w:p>
    <w:p w14:paraId="27A9F1C8">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关于发包人应负责提供施工所需要的条件，包括：</w:t>
      </w:r>
    </w:p>
    <w:p w14:paraId="17B279B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（1）办理土地征用、拆迁工作、平整工作场地等工作，使施工场地具备施工条件的时间：</w:t>
      </w:r>
      <w:r>
        <w:rPr>
          <w:rFonts w:hint="eastAsia" w:ascii="宋体" w:hAnsi="宋体" w:eastAsia="宋体" w:cs="宋体"/>
          <w:sz w:val="24"/>
          <w:szCs w:val="24"/>
          <w:highlight w:val="none"/>
          <w:u w:val="single"/>
        </w:rPr>
        <w:t>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需赔偿。场地平整以及清理场地障碍物等均由承包人根据自行解决，并承担一切相关费用</w:t>
      </w:r>
      <w:r>
        <w:rPr>
          <w:rFonts w:hint="eastAsia" w:ascii="宋体" w:hAnsi="宋体" w:eastAsia="宋体" w:cs="宋体"/>
          <w:sz w:val="24"/>
          <w:szCs w:val="24"/>
          <w:highlight w:val="none"/>
        </w:rPr>
        <w:t>。</w:t>
      </w:r>
    </w:p>
    <w:p w14:paraId="27BAD3C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（2）完成施工所需水、电、通讯线路接驳的时间及地点：</w:t>
      </w:r>
      <w:r>
        <w:rPr>
          <w:rFonts w:hint="eastAsia" w:ascii="宋体" w:hAnsi="宋体" w:eastAsia="宋体" w:cs="宋体"/>
          <w:sz w:val="24"/>
          <w:szCs w:val="24"/>
          <w:highlight w:val="none"/>
          <w:u w:val="single"/>
        </w:rPr>
        <w:t>施工期间的水费、电费由承包人承担。施工用水的给水点及施工用电的用电点均由发包人根据现场情况安排接入点，并由承包人办理水源或电源的报装，报装费用由承包人承担。</w:t>
      </w:r>
    </w:p>
    <w:p w14:paraId="435EC63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（3）开工施工现场与城乡公共道路间的通道的约定：</w:t>
      </w:r>
      <w:r>
        <w:rPr>
          <w:rFonts w:hint="eastAsia" w:ascii="宋体" w:hAnsi="宋体" w:eastAsia="宋体" w:cs="宋体"/>
          <w:sz w:val="24"/>
          <w:szCs w:val="24"/>
          <w:highlight w:val="none"/>
          <w:u w:val="single"/>
        </w:rPr>
        <w:t>施工范围外的公共道路按现状，施工便道由施工单位自行考虑。费用已包在本工程合同价中</w:t>
      </w:r>
      <w:r>
        <w:rPr>
          <w:rFonts w:hint="eastAsia" w:ascii="宋体" w:hAnsi="宋体" w:eastAsia="宋体" w:cs="宋体"/>
          <w:sz w:val="24"/>
          <w:szCs w:val="24"/>
          <w:highlight w:val="none"/>
        </w:rPr>
        <w:t>。</w:t>
      </w:r>
    </w:p>
    <w:p w14:paraId="360690C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（4）提供有关资料的时间：</w:t>
      </w:r>
      <w:r>
        <w:rPr>
          <w:rFonts w:hint="eastAsia" w:ascii="宋体" w:hAnsi="宋体" w:eastAsia="宋体" w:cs="宋体"/>
          <w:sz w:val="24"/>
          <w:szCs w:val="24"/>
          <w:highlight w:val="none"/>
          <w:u w:val="single"/>
        </w:rPr>
        <w:t>开工前5天</w:t>
      </w:r>
      <w:r>
        <w:rPr>
          <w:rFonts w:hint="eastAsia" w:ascii="宋体" w:hAnsi="宋体" w:eastAsia="宋体" w:cs="宋体"/>
          <w:sz w:val="24"/>
          <w:szCs w:val="24"/>
          <w:highlight w:val="none"/>
        </w:rPr>
        <w:t>。</w:t>
      </w:r>
    </w:p>
    <w:p w14:paraId="56B0BC9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（5）办理有关所需证件的约定：</w:t>
      </w:r>
      <w:r>
        <w:rPr>
          <w:rFonts w:hint="eastAsia" w:ascii="宋体" w:hAnsi="宋体" w:eastAsia="宋体" w:cs="宋体"/>
          <w:sz w:val="24"/>
          <w:szCs w:val="24"/>
          <w:highlight w:val="none"/>
          <w:u w:val="single"/>
        </w:rPr>
        <w:t>由承包人办理本工程有关的施工报建手续和竣工验收手续，发包人协助提供相关资料。有关施工所需证件、文件由承包人办理，费用按政策规定各自承担相应部分。</w:t>
      </w:r>
    </w:p>
    <w:p w14:paraId="73A57FD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（6）现场交验的时间：</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3C9084D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（7）提供标准与规范的时间：</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4D79558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（8）组织图纸会审和设计交底的约定：</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4BCC11A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（9）协调处理施工场地周围地形关系问题和做好邻近建筑物、构筑物（包括文物保护建筑）、古树名木等的保护工作的约定：</w:t>
      </w:r>
      <w:r>
        <w:rPr>
          <w:rFonts w:hint="eastAsia" w:ascii="宋体" w:hAnsi="宋体" w:eastAsia="宋体" w:cs="宋体"/>
          <w:sz w:val="24"/>
          <w:szCs w:val="24"/>
          <w:highlight w:val="none"/>
          <w:u w:val="single"/>
        </w:rPr>
        <w:t>承包人提出具体方案，由发包人及相关部门签字同意后由承包人实施，所需费用由发包人承担。施工过程中若因承包人施工措施不当原因造成的损坏，由承包人承担因此而引起的一切经济损失和法律责任</w:t>
      </w:r>
      <w:r>
        <w:rPr>
          <w:rFonts w:hint="eastAsia" w:ascii="宋体" w:hAnsi="宋体" w:eastAsia="宋体" w:cs="宋体"/>
          <w:sz w:val="24"/>
          <w:szCs w:val="24"/>
          <w:highlight w:val="none"/>
        </w:rPr>
        <w:t>。</w:t>
      </w:r>
    </w:p>
    <w:p w14:paraId="24A42C97">
      <w:pPr>
        <w:pageBreakBefore w:val="0"/>
        <w:widowControl w:val="0"/>
        <w:kinsoku/>
        <w:wordWrap/>
        <w:overflowPunct/>
        <w:topLinePunct w:val="0"/>
        <w:bidi w:val="0"/>
        <w:spacing w:line="440" w:lineRule="exact"/>
        <w:ind w:firstLine="501" w:firstLineChars="209"/>
        <w:textAlignment w:val="auto"/>
        <w:rPr>
          <w:rFonts w:ascii="宋体" w:hAnsi="宋体" w:eastAsia="宋体" w:cs="宋体"/>
          <w:sz w:val="24"/>
          <w:szCs w:val="24"/>
          <w:highlight w:val="none"/>
        </w:rPr>
      </w:pPr>
      <w:r>
        <w:rPr>
          <w:rFonts w:hint="eastAsia" w:ascii="宋体" w:hAnsi="宋体" w:eastAsia="宋体" w:cs="宋体"/>
          <w:sz w:val="24"/>
          <w:szCs w:val="24"/>
          <w:highlight w:val="none"/>
        </w:rPr>
        <w:t>（10）接收已完工程支付工程相关价款的约定：</w:t>
      </w:r>
      <w:r>
        <w:rPr>
          <w:rFonts w:hint="eastAsia" w:ascii="宋体" w:hAnsi="宋体" w:eastAsia="宋体" w:cs="宋体"/>
          <w:sz w:val="24"/>
          <w:szCs w:val="24"/>
          <w:highlight w:val="none"/>
          <w:u w:val="single"/>
        </w:rPr>
        <w:t>发包人有权取消本工程内的任何单项工程并不作任何补偿。发包人有权终止本工程正在施工的工程项目并不作任何补偿，结算时按实结算</w:t>
      </w:r>
      <w:r>
        <w:rPr>
          <w:rFonts w:hint="eastAsia" w:ascii="宋体" w:hAnsi="宋体" w:eastAsia="宋体" w:cs="宋体"/>
          <w:sz w:val="24"/>
          <w:szCs w:val="24"/>
          <w:highlight w:val="none"/>
        </w:rPr>
        <w:t>。</w:t>
      </w:r>
    </w:p>
    <w:p w14:paraId="52909029">
      <w:pPr>
        <w:pageBreakBefore w:val="0"/>
        <w:widowControl w:val="0"/>
        <w:kinsoku/>
        <w:wordWrap/>
        <w:overflowPunct/>
        <w:topLinePunct w:val="0"/>
        <w:bidi w:val="0"/>
        <w:spacing w:line="440" w:lineRule="exact"/>
        <w:ind w:firstLine="501" w:firstLineChars="209"/>
        <w:textAlignment w:val="auto"/>
        <w:rPr>
          <w:rFonts w:ascii="宋体" w:hAnsi="宋体" w:eastAsia="宋体" w:cs="宋体"/>
          <w:sz w:val="24"/>
          <w:szCs w:val="24"/>
          <w:highlight w:val="none"/>
        </w:rPr>
      </w:pPr>
      <w:r>
        <w:rPr>
          <w:rFonts w:hint="eastAsia" w:ascii="宋体" w:hAnsi="宋体" w:eastAsia="宋体" w:cs="宋体"/>
          <w:sz w:val="24"/>
          <w:szCs w:val="24"/>
          <w:highlight w:val="none"/>
        </w:rPr>
        <w:t>（11）委托给承包人负责的部分工作有：</w:t>
      </w:r>
      <w:r>
        <w:rPr>
          <w:rFonts w:hint="eastAsia" w:ascii="宋体" w:hAnsi="宋体" w:eastAsia="宋体" w:cs="宋体"/>
          <w:sz w:val="24"/>
          <w:szCs w:val="24"/>
          <w:highlight w:val="none"/>
          <w:u w:val="single"/>
        </w:rPr>
        <w:t>工程质量、安全监督报监工作，工程质监登记、合同签证、施工许可证、购买印花税等一切开工前的审批、申领手续。</w:t>
      </w:r>
    </w:p>
    <w:p w14:paraId="08732D4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p>
    <w:p w14:paraId="3E63601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79" w:name="_Toc1184"/>
      <w:bookmarkStart w:id="180" w:name="_Toc430079002"/>
      <w:r>
        <w:rPr>
          <w:rFonts w:hint="eastAsia" w:ascii="宋体" w:hAnsi="宋体" w:eastAsia="宋体" w:cs="宋体"/>
          <w:bCs/>
          <w:sz w:val="24"/>
          <w:szCs w:val="24"/>
          <w:highlight w:val="none"/>
        </w:rPr>
        <w:t>3. 承包人</w:t>
      </w:r>
      <w:bookmarkEnd w:id="179"/>
      <w:bookmarkEnd w:id="180"/>
    </w:p>
    <w:p w14:paraId="671FAE2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3.1 承包人的一般义务</w:t>
      </w:r>
    </w:p>
    <w:p w14:paraId="797E84F1">
      <w:pPr>
        <w:pageBreakBefore w:val="0"/>
        <w:widowControl w:val="0"/>
        <w:kinsoku/>
        <w:wordWrap/>
        <w:overflowPunct/>
        <w:topLinePunct w:val="0"/>
        <w:bidi w:val="0"/>
        <w:spacing w:line="440" w:lineRule="exact"/>
        <w:ind w:firstLine="48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9）承包人提交的竣工资料的内容：工程具备竣工验收条件，承包人应按照建设部及省、市的有关规定和发包人的要求编制工程竣工文件（含施工原始记录、照片、录像等资料）。各分部分项工程的竣工图应详尽，并在有关工程完工后陆续提交发包人审查，承包人应在竣工验收前 15天内将整个工程的竣工文件提交发包人审查同意，并复制一式四份后，方能进行交工验收。竣工资料验收合格后，应向发包人提交两份。</w:t>
      </w:r>
    </w:p>
    <w:p w14:paraId="7E3A5D5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承包人需要提交的竣工资料套数：</w:t>
      </w:r>
      <w:r>
        <w:rPr>
          <w:rFonts w:hint="eastAsia" w:ascii="宋体" w:hAnsi="宋体" w:eastAsia="宋体" w:cs="宋体"/>
          <w:sz w:val="24"/>
          <w:highlight w:val="none"/>
          <w:u w:val="single"/>
        </w:rPr>
        <w:t>承包人须负责施工及竣工验收资料的收集、整理和完善，并须按《城市建设档案管理规定》的要求向发包人移交经验收合格的工程档案资料。否则发包人有权按照约定不予支付相应工程款。承包人负责竣工图编制、竣工资料的备案、归档，提供能够全面、正确反映竣工实况的、由承包人加盖竣工专门印章的竣工图纸四套（含电子文件一份），及工程施工质量技术资料一份正</w:t>
      </w:r>
      <w:r>
        <w:rPr>
          <w:rFonts w:hint="eastAsia" w:ascii="宋体" w:hAnsi="宋体" w:eastAsia="宋体" w:cs="宋体"/>
          <w:sz w:val="24"/>
          <w:szCs w:val="24"/>
          <w:highlight w:val="none"/>
          <w:u w:val="single"/>
        </w:rPr>
        <w:t>本、一份副本。</w:t>
      </w:r>
    </w:p>
    <w:p w14:paraId="4B9ADC1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承包人提交的竣工资料的费用承担：</w:t>
      </w:r>
      <w:r>
        <w:rPr>
          <w:rFonts w:hint="eastAsia" w:ascii="宋体" w:hAnsi="宋体" w:eastAsia="宋体" w:cs="宋体"/>
          <w:sz w:val="24"/>
          <w:szCs w:val="24"/>
          <w:highlight w:val="none"/>
          <w:u w:val="single"/>
        </w:rPr>
        <w:t>由承包人承担并付，费用已包含在合同价中。</w:t>
      </w:r>
    </w:p>
    <w:p w14:paraId="458DA0A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承包人提交的竣工资料移交时间：</w:t>
      </w:r>
      <w:r>
        <w:rPr>
          <w:rFonts w:hint="eastAsia" w:ascii="宋体" w:hAnsi="宋体" w:eastAsia="宋体" w:cs="宋体"/>
          <w:sz w:val="24"/>
          <w:szCs w:val="24"/>
          <w:highlight w:val="none"/>
          <w:u w:val="single"/>
        </w:rPr>
        <w:t>在工程竣工验收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10天内</w:t>
      </w:r>
      <w:r>
        <w:rPr>
          <w:rFonts w:hint="eastAsia" w:ascii="宋体" w:hAnsi="宋体" w:eastAsia="宋体" w:cs="宋体"/>
          <w:sz w:val="24"/>
          <w:szCs w:val="24"/>
          <w:highlight w:val="none"/>
        </w:rPr>
        <w:t>。</w:t>
      </w:r>
    </w:p>
    <w:p w14:paraId="6175A1D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承包人提交的竣工资料形式要求：</w:t>
      </w:r>
      <w:r>
        <w:rPr>
          <w:rFonts w:hint="eastAsia" w:ascii="宋体" w:hAnsi="宋体" w:eastAsia="宋体" w:cs="宋体"/>
          <w:sz w:val="24"/>
          <w:szCs w:val="24"/>
          <w:highlight w:val="none"/>
          <w:u w:val="single"/>
        </w:rPr>
        <w:t>发包人指定的形式，并符合《基本建设项目档案管理暂行规定》要求。承包人在工程施工过程中及时做好工程承包范围内档案的收集、整理、汇总工作。承包人在工程竣工验收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10天内，应向发包人提供符合《基本建设项目档案管理暂行规定》要求，按规格编制成册的、真实的、完整的工程竣工图及有关的工程技术档案资料，经发包人审核签收后由承包人提交发包人归档并同时提交有关归档的证明文件</w:t>
      </w:r>
      <w:r>
        <w:rPr>
          <w:rFonts w:hint="eastAsia" w:ascii="宋体" w:hAnsi="宋体" w:eastAsia="宋体" w:cs="宋体"/>
          <w:sz w:val="24"/>
          <w:szCs w:val="24"/>
          <w:highlight w:val="none"/>
        </w:rPr>
        <w:t>。</w:t>
      </w:r>
    </w:p>
    <w:p w14:paraId="37A3E6AA">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（10）承包人应履行的其他义务：</w:t>
      </w:r>
    </w:p>
    <w:p w14:paraId="4D212DB2">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承包人须提交完整的资料协助办理完工（竣工）验收手续、完工（竣工）档案的整理、编制及移交，费用按政策规定各自承担相应部分。承包人必须充分考虑各项手续所需的时间，合理安排工期，不得以此延迟工期。承包人应提前到相关部门咨询本工程各单项专业验收所需的资料、证照及手续，并承诺完成本工程各项验收手续，相关费用由承包人自理。临时设施方案应在接到中标通知书</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7天内提交发包人及监理工程师审批。</w:t>
      </w:r>
    </w:p>
    <w:p w14:paraId="159044FC">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2承包人在施工过程必要严格按照施工图要求及相关工程施工规范进行施工工作，发包人或监理单位如发现承包人存在偷工减料等不符合要求的行为，存在质量、安全事故隐患的，可要求承包人整改。若承包人拒不整改或不停止施工、返工处理的，发包人可向建设行政主管部门或相关的安全监督机构报告。若承包人整改后还存在质量、安全事故隐患的，视作承包人违约，发包人可终止合同，并有权指派第三方进场完善，所需的费用在结算工程款中扣减。</w:t>
      </w:r>
    </w:p>
    <w:p w14:paraId="7A538A20">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本工程施工过程中必须注意施工安全，做好安全文明施工工作，并为施工人员购买人身保险，保证施工期间在场所有人员的人身安全，不造成工伤死亡事故，如因措施不当造成人身安全或工伤死亡事故，一切责任由承包人负责。安全防护、文明施工费的费用管理规定及管理办法按GB50500-2013《建设工程工程量清单计价规范》、《广东省建设厅建筑工程安全防护、文明施工措施费用管理办法》（粤建管字[2007]39号）的规定。</w:t>
      </w:r>
    </w:p>
    <w:p w14:paraId="01A320CF">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4道路的封闭的交通维护以及交通告示牌等的交通疏导方案由承包人负责并经交警主管部门审批（发包人只负责协作）；所发生的标志牌、疏导交通设施费等费用不另增加。</w:t>
      </w:r>
    </w:p>
    <w:p w14:paraId="3B62535E">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5承包人应采取一切合理步骤，保护现场内外的环境，认真履行《佛山市南海区建设工程渣土管理办法（试行）》、《佛山市扬尘污染防治条例》、《佛山市南海区建筑工地扬尘防治及渣土运输管理实施规范》及《南海区建筑工地文明施工检查评比实施细则（试行）》等法律法规、细则办法，最大限度的限制由工程施工作业引起的扬尘、渣土排放及其他后果对公众和财产造成的损害和妨碍。如因承包人原因导致城市管理季度考评（包括暗检明检）中扣分的，则每扣1分，发包人将向承包人收取违约金5000元。承包人应充分考虑环境保护的成本，相关费用包含在合同价中。</w:t>
      </w:r>
    </w:p>
    <w:p w14:paraId="79A0FDA0">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6本工程选用的材料质量均应符合国家标准要求，并能通过相关管理部门验收合格。在工程施工过程中，承包人应按照投标承诺及设计和有关标准要求供应材料，并提供产品合格证明，对材料设备质量负责。承包人采购的材料设备在使用前，承包人应按相关规范及监理工程师的要求进行检验或试验，不合格的不得使用，检验或试验费用由承包人承担。所有材料必须经发包人、监理单位确认后方可进场施工使用。</w:t>
      </w:r>
    </w:p>
    <w:p w14:paraId="6286CAAF">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7施工期间，承包人在施工期间尽量控制噪音和保持现场周围环境清洁，及时清理拆除并运走废料、垃圾和不再使用的临时设施，合理设置施工机械、设备和工程材料，防止油料及废料污染环境，及污染水源，损坏农田水利等基本设施；否则由此引起的一切损失由承包人负责赔偿。工程施工完成后必须对工程周围环境恢复原貌，除非另有协议，永久性工程完工后，承包人应及时移去、拆毁、消除和处理全部临时工程，把所有修筑临时工程时占用的区域清理好，安全文明标准执行佛山市相关管理办法，所发生的费用由施工单位负责。本工程全部临时工程费用应认为已包含在各有关永久工程的工程细目中。</w:t>
      </w:r>
    </w:p>
    <w:p w14:paraId="46DBC342">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8在工程实施期间，发包人有权根据进度情况要求承包人增加人力、机械、材料等资源，承包人须无条件接受。由于承包人按期完工对发包人具有重大影响，承包人出现施工进度严重滞后于施工进度计划的，经发包人2次督促后仍未符合进度计划的，发包人可指派第三方进场协同施工，所需的费用在结算工程款中扣减，同时，必须向发包人支付合同总价10%的违约金，违约金不足弥补发包人损失的，承包人还应全额赔偿。</w:t>
      </w:r>
    </w:p>
    <w:p w14:paraId="28A243BB">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9承包人在施工过程中，应根据工程特点组织制定安全施工措施，消除安全事故隐患。在施工现场出入口或者沿线各交叉口、施工起重机械、拌和场、临时用电设施等危险部位，设置明显的安全警示标志或者必要的安全防护设施，晚上还须加警示灯。</w:t>
      </w:r>
    </w:p>
    <w:p w14:paraId="2389B073">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工程竣工验收合格前，工程的安全责任由承包人负责。如因承包人未能及时达到现场或承包人未按国家、省、市、区现行相关规范要求采取有效安全警示措施造成安全事故的，一切法律责任及经济责任由承包人负责，与发包人无关。</w:t>
      </w:r>
    </w:p>
    <w:p w14:paraId="03A01719">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本工程的承包人如须实行劳务分包，劳务分包按佛山市建设局《关于建立我市建筑劳务分包制度的通知》（佛建工（2006）70号）执行，承包人必须在市建设局通过各建设工程交易中心的网站进行公布的劳务公司中选择，选定分包队伍或选择队伍投标分包，需送发包人、监理单位审批后方可进场施工。</w:t>
      </w:r>
    </w:p>
    <w:p w14:paraId="3F5E7E7F">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12承包人必须按南海区的相关规定缴交安全生产保证金及工人工资保证金；必须保证按时发放工人工资，办理社保等保险，提供安全保障，并接受发包人及其上级主管部门的监督。如因承包人未能按时发放工人工资的，发包人有权在安全生产和及时发放工人工资保证金作为处理安全事故或拖欠工人工资的费用，不足部分在工程结算款中扣减。如因拖欠工资而造成民工上访、聚众闹事、斗殴、阻工等相关事件和其他后果的，一切责任和损失由承包人承担，如果给发包人造成了较严重的信誉损伤或影响的，发包人有权追究其造成的损失,承包人应承担赔偿责任。承包人每月发放工人工资后向发包人递交发放工人工资的明细表以及在项目管理部公示工人工资发放情况的资料，否则不给予划拨工程款。</w:t>
      </w:r>
    </w:p>
    <w:p w14:paraId="74867D68">
      <w:pPr>
        <w:pageBreakBefore w:val="0"/>
        <w:widowControl w:val="0"/>
        <w:tabs>
          <w:tab w:val="left" w:pos="1260"/>
        </w:tabs>
        <w:kinsoku/>
        <w:wordWrap/>
        <w:overflowPunct/>
        <w:topLinePunct w:val="0"/>
        <w:bidi w:val="0"/>
        <w:snapToGrid w:val="0"/>
        <w:spacing w:line="440" w:lineRule="exact"/>
        <w:ind w:left="420"/>
        <w:textAlignment w:val="auto"/>
        <w:rPr>
          <w:rFonts w:ascii="宋体" w:hAnsi="宋体" w:eastAsia="宋体" w:cs="宋体"/>
          <w:b/>
          <w:sz w:val="24"/>
          <w:szCs w:val="24"/>
          <w:highlight w:val="none"/>
        </w:rPr>
      </w:pPr>
    </w:p>
    <w:p w14:paraId="64BD369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 项目经理</w:t>
      </w:r>
    </w:p>
    <w:p w14:paraId="7A85348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 xml:space="preserve">3.2.1 </w:t>
      </w:r>
      <w:r>
        <w:rPr>
          <w:rFonts w:hint="eastAsia" w:ascii="宋体" w:hAnsi="宋体" w:eastAsia="宋体" w:cs="宋体"/>
          <w:sz w:val="24"/>
          <w:szCs w:val="24"/>
          <w:highlight w:val="none"/>
        </w:rPr>
        <w:t>项目经理(项目负责人)：</w:t>
      </w:r>
    </w:p>
    <w:p w14:paraId="699674C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0E0404E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721763C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建造师执业资格等级：</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781C4BD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建造师注册证书号：</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52A4A6F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建造师执业印章号：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B88460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安全生产考核合格证书号：</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5FBE3A1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3825A84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0E3C0D5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446A205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承包人对项目经理的授权范围如下：</w:t>
      </w:r>
      <w:r>
        <w:rPr>
          <w:rFonts w:hint="eastAsia" w:ascii="宋体" w:hAnsi="宋体" w:eastAsia="宋体" w:cs="宋体"/>
          <w:sz w:val="24"/>
          <w:szCs w:val="24"/>
          <w:highlight w:val="none"/>
          <w:u w:val="single"/>
        </w:rPr>
        <w:t xml:space="preserve">对于本合同而言，经承包人任命的并且按照本款已经取得发包人同意的项目经理应是承包人唯一的合法代表人。项目经理应按发包人批准的施工组织设计（施工方案）和发包人根据合同发出的指令组织施工。除非合同中另有约定，项目经理应受理合同范围内的所有通知、指示、同意、批准、证书和决定的约束。承包人根据合同发出的通知、请示、要求等，应以书面形式由项目经理签字盖章后送交发包人 </w:t>
      </w:r>
      <w:r>
        <w:rPr>
          <w:rFonts w:hint="eastAsia" w:ascii="宋体" w:hAnsi="宋体" w:eastAsia="宋体" w:cs="宋体"/>
          <w:sz w:val="24"/>
          <w:szCs w:val="24"/>
          <w:highlight w:val="none"/>
        </w:rPr>
        <w:t>。</w:t>
      </w:r>
    </w:p>
    <w:p w14:paraId="78C868FC">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关于项目经理每月在施工现场的时间要求：</w:t>
      </w:r>
      <w:r>
        <w:rPr>
          <w:rFonts w:hint="eastAsia" w:ascii="宋体" w:hAnsi="宋体" w:eastAsia="宋体" w:cs="宋体"/>
          <w:sz w:val="24"/>
          <w:szCs w:val="24"/>
          <w:highlight w:val="none"/>
          <w:u w:val="single"/>
        </w:rPr>
        <w:t>必须保证法定工作日内在施工现场</w:t>
      </w:r>
      <w:r>
        <w:rPr>
          <w:rFonts w:hint="eastAsia" w:ascii="宋体" w:hAnsi="宋体" w:eastAsia="宋体" w:cs="宋体"/>
          <w:sz w:val="24"/>
          <w:szCs w:val="24"/>
          <w:highlight w:val="none"/>
        </w:rPr>
        <w:t>。</w:t>
      </w:r>
    </w:p>
    <w:p w14:paraId="0AEDFDD9">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承包人未提交劳动合同，以及没有为项目经理缴纳社会保险证明的违约责任：</w:t>
      </w:r>
      <w:r>
        <w:rPr>
          <w:rFonts w:hint="eastAsia" w:ascii="宋体" w:hAnsi="宋体" w:eastAsia="宋体" w:cs="宋体"/>
          <w:sz w:val="24"/>
          <w:szCs w:val="24"/>
          <w:highlight w:val="none"/>
          <w:u w:val="single"/>
        </w:rPr>
        <w:t>视为承包人违约，发包人有权终止施工合同，</w:t>
      </w:r>
      <w:r>
        <w:rPr>
          <w:rFonts w:hint="eastAsia" w:ascii="宋体" w:hAnsi="宋体" w:eastAsia="宋体" w:cs="宋体"/>
          <w:kern w:val="0"/>
          <w:sz w:val="24"/>
          <w:szCs w:val="24"/>
          <w:highlight w:val="none"/>
          <w:u w:val="single"/>
        </w:rPr>
        <w:t>并对承包人处罚5000元违约金，在合同款中扣除。</w:t>
      </w:r>
    </w:p>
    <w:p w14:paraId="13E44CA2">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项目经理未经批准，擅自离开施工现场的违约责任：</w:t>
      </w:r>
      <w:r>
        <w:rPr>
          <w:rFonts w:hint="eastAsia" w:ascii="宋体" w:hAnsi="宋体" w:eastAsia="宋体" w:cs="宋体"/>
          <w:sz w:val="24"/>
          <w:szCs w:val="24"/>
          <w:highlight w:val="none"/>
          <w:u w:val="single"/>
        </w:rPr>
        <w:t>视为承包人违约，第一次发包人将对承包人发出书面警告，此后再犯者承包人须按每次每人5000元的标准向包人支付违约金。违约金由承包人支付并由发包人在工程款中代扣</w:t>
      </w:r>
      <w:r>
        <w:rPr>
          <w:rFonts w:hint="eastAsia" w:ascii="宋体" w:hAnsi="宋体" w:eastAsia="宋体" w:cs="宋体"/>
          <w:kern w:val="0"/>
          <w:sz w:val="24"/>
          <w:szCs w:val="24"/>
          <w:highlight w:val="none"/>
          <w:u w:val="single"/>
        </w:rPr>
        <w:t>。</w:t>
      </w:r>
    </w:p>
    <w:p w14:paraId="0FB15B1B">
      <w:pPr>
        <w:pageBreakBefore w:val="0"/>
        <w:widowControl w:val="0"/>
        <w:kinsoku/>
        <w:wordWrap/>
        <w:overflowPunct/>
        <w:topLinePunct w:val="0"/>
        <w:bidi w:val="0"/>
        <w:spacing w:line="440" w:lineRule="exact"/>
        <w:ind w:firstLine="36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3.2.3 承包人擅自更换项目经理的违约责任：</w:t>
      </w:r>
      <w:r>
        <w:rPr>
          <w:rFonts w:hint="eastAsia" w:ascii="宋体" w:hAnsi="宋体" w:eastAsia="宋体" w:cs="宋体"/>
          <w:sz w:val="24"/>
          <w:szCs w:val="24"/>
          <w:highlight w:val="none"/>
          <w:u w:val="single"/>
        </w:rPr>
        <w:t>视为承包人违约，发包人有权终止施工合同，</w:t>
      </w:r>
      <w:r>
        <w:rPr>
          <w:rFonts w:hint="eastAsia" w:ascii="宋体" w:hAnsi="宋体" w:eastAsia="宋体" w:cs="宋体"/>
          <w:kern w:val="0"/>
          <w:sz w:val="24"/>
          <w:szCs w:val="24"/>
          <w:highlight w:val="none"/>
          <w:u w:val="single"/>
        </w:rPr>
        <w:t>并对承包人处罚5000元违约金，在合同款中扣除。</w:t>
      </w:r>
    </w:p>
    <w:p w14:paraId="61AA92D8">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3.2.4 承包人无正当理由拒绝更换项目经理的违约责任：</w:t>
      </w:r>
      <w:r>
        <w:rPr>
          <w:rFonts w:hint="eastAsia" w:ascii="宋体" w:hAnsi="宋体" w:eastAsia="宋体" w:cs="宋体"/>
          <w:sz w:val="24"/>
          <w:szCs w:val="24"/>
          <w:highlight w:val="none"/>
          <w:u w:val="single"/>
        </w:rPr>
        <w:t>视为承包人违约，发包人有权终止施工合同，</w:t>
      </w:r>
      <w:r>
        <w:rPr>
          <w:rFonts w:hint="eastAsia" w:ascii="宋体" w:hAnsi="宋体" w:eastAsia="宋体" w:cs="宋体"/>
          <w:kern w:val="0"/>
          <w:sz w:val="24"/>
          <w:szCs w:val="24"/>
          <w:highlight w:val="none"/>
          <w:u w:val="single"/>
        </w:rPr>
        <w:t>并对承包人处罚5000元违约金，在合同款中扣除。</w:t>
      </w:r>
    </w:p>
    <w:p w14:paraId="1FA424D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 承包人人员</w:t>
      </w:r>
    </w:p>
    <w:p w14:paraId="13A545E0">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3.3.1 承包人提交项目管理机构及施工现场管理人员安排报告的期限：</w:t>
      </w:r>
      <w:r>
        <w:rPr>
          <w:rFonts w:hint="eastAsia" w:ascii="宋体" w:hAnsi="宋体" w:eastAsia="宋体" w:cs="宋体"/>
          <w:sz w:val="24"/>
          <w:szCs w:val="24"/>
          <w:highlight w:val="none"/>
          <w:u w:val="single"/>
        </w:rPr>
        <w:t>签订施工合同前</w:t>
      </w:r>
      <w:r>
        <w:rPr>
          <w:rFonts w:hint="eastAsia" w:ascii="宋体" w:hAnsi="宋体" w:eastAsia="宋体" w:cs="宋体"/>
          <w:sz w:val="24"/>
          <w:szCs w:val="24"/>
          <w:highlight w:val="none"/>
        </w:rPr>
        <w:t>。</w:t>
      </w:r>
    </w:p>
    <w:p w14:paraId="39FC535B">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 承包人无正当理由拒绝撤换主要施工管理人员的违约责任：</w:t>
      </w:r>
      <w:r>
        <w:rPr>
          <w:rFonts w:hint="eastAsia" w:ascii="宋体" w:hAnsi="宋体" w:eastAsia="宋体" w:cs="宋体"/>
          <w:sz w:val="24"/>
          <w:szCs w:val="24"/>
          <w:highlight w:val="none"/>
          <w:u w:val="single"/>
        </w:rPr>
        <w:t>视为承包人违约，发包人有权终止合同，</w:t>
      </w:r>
      <w:r>
        <w:rPr>
          <w:rFonts w:hint="eastAsia" w:ascii="宋体" w:hAnsi="宋体" w:eastAsia="宋体" w:cs="宋体"/>
          <w:kern w:val="0"/>
          <w:sz w:val="24"/>
          <w:szCs w:val="24"/>
          <w:highlight w:val="none"/>
          <w:u w:val="single"/>
        </w:rPr>
        <w:t>并对承包人处罚5000元违约金，在合同款中扣除</w:t>
      </w:r>
      <w:r>
        <w:rPr>
          <w:rFonts w:hint="eastAsia" w:ascii="宋体" w:hAnsi="宋体" w:eastAsia="宋体" w:cs="宋体"/>
          <w:sz w:val="24"/>
          <w:szCs w:val="24"/>
          <w:highlight w:val="none"/>
          <w:u w:val="single"/>
        </w:rPr>
        <w:t xml:space="preserve">。在发包人同意的前提下，承包人在施工进场时如因特殊原因确需对施工管理人员进行调整，所代替的人选在资格、资历、能力等方面均不得低于原来的人选，累计更换次数各不得超过2次，同时须向发包人提交违约金 </w:t>
      </w:r>
      <w:r>
        <w:rPr>
          <w:rFonts w:hint="eastAsia" w:ascii="宋体" w:hAnsi="宋体" w:eastAsia="宋体" w:cs="宋体"/>
          <w:sz w:val="24"/>
          <w:szCs w:val="24"/>
          <w:highlight w:val="none"/>
        </w:rPr>
        <w:t>。</w:t>
      </w:r>
    </w:p>
    <w:p w14:paraId="4C57B7B9">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3.3.4 承包人主要施工管理人员离开施工现场的批准要求：</w:t>
      </w:r>
      <w:r>
        <w:rPr>
          <w:rFonts w:hint="eastAsia" w:ascii="宋体" w:hAnsi="宋体" w:eastAsia="宋体" w:cs="宋体"/>
          <w:sz w:val="24"/>
          <w:szCs w:val="24"/>
          <w:highlight w:val="none"/>
          <w:u w:val="single"/>
        </w:rPr>
        <w:t>离开2天以内的应事先征得发包人同意，并委派代表代行其职责；若离开2天以上的应事先申报发包人获发包人同意，委派代表代行其职责。</w:t>
      </w:r>
    </w:p>
    <w:p w14:paraId="2026F506">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3.3.5承包人擅自更换主要施工管理人员的违约责任：</w:t>
      </w:r>
      <w:r>
        <w:rPr>
          <w:rFonts w:hint="eastAsia" w:ascii="宋体" w:hAnsi="宋体" w:eastAsia="宋体" w:cs="宋体"/>
          <w:sz w:val="24"/>
          <w:szCs w:val="24"/>
          <w:highlight w:val="none"/>
          <w:u w:val="single"/>
        </w:rPr>
        <w:t>视为承包人违约，发包人有权终止合同，</w:t>
      </w:r>
      <w:r>
        <w:rPr>
          <w:rFonts w:hint="eastAsia" w:ascii="宋体" w:hAnsi="宋体" w:eastAsia="宋体" w:cs="宋体"/>
          <w:kern w:val="0"/>
          <w:sz w:val="24"/>
          <w:szCs w:val="24"/>
          <w:highlight w:val="none"/>
          <w:u w:val="single"/>
        </w:rPr>
        <w:t>并对承包人处罚5000元违约金，在合同款中扣除</w:t>
      </w:r>
      <w:r>
        <w:rPr>
          <w:rFonts w:hint="eastAsia" w:ascii="宋体" w:hAnsi="宋体" w:eastAsia="宋体" w:cs="宋体"/>
          <w:sz w:val="24"/>
          <w:szCs w:val="24"/>
          <w:highlight w:val="none"/>
          <w:u w:val="single"/>
        </w:rPr>
        <w:t>。</w:t>
      </w:r>
    </w:p>
    <w:p w14:paraId="768898BF">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承包人主要施工管理人员擅自离开施工现场的违约责任：</w:t>
      </w:r>
      <w:r>
        <w:rPr>
          <w:rFonts w:hint="eastAsia" w:ascii="宋体" w:hAnsi="宋体" w:eastAsia="宋体" w:cs="宋体"/>
          <w:sz w:val="24"/>
          <w:szCs w:val="24"/>
          <w:highlight w:val="none"/>
          <w:u w:val="single"/>
        </w:rPr>
        <w:t>施工期间承包人的管理人员（包括施工员、安全员等相关的人员）必须驻守工地，发包人将不定期进行抽查，一旦发现有关人员未经发包人同意无故离开现场的，第一次发包人将对承包人发出书面警告，此后再犯者承包人须按每次每人5000元的标准向发包人支付违约金。违约金由承包人支付并由发包人在工程款中代扣</w:t>
      </w:r>
      <w:r>
        <w:rPr>
          <w:rFonts w:hint="eastAsia" w:ascii="宋体" w:hAnsi="宋体" w:eastAsia="宋体" w:cs="宋体"/>
          <w:sz w:val="24"/>
          <w:szCs w:val="24"/>
          <w:highlight w:val="none"/>
        </w:rPr>
        <w:t>。</w:t>
      </w:r>
    </w:p>
    <w:p w14:paraId="743399A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3.5 分包</w:t>
      </w:r>
    </w:p>
    <w:p w14:paraId="4357CDB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3.5.1 分包的一般约定</w:t>
      </w:r>
    </w:p>
    <w:p w14:paraId="7E9F4BBF">
      <w:pPr>
        <w:pageBreakBefore w:val="0"/>
        <w:widowControl w:val="0"/>
        <w:kinsoku/>
        <w:wordWrap/>
        <w:overflowPunct/>
        <w:topLinePunct w:val="0"/>
        <w:bidi w:val="0"/>
        <w:spacing w:line="440" w:lineRule="exact"/>
        <w:ind w:firstLine="482" w:firstLineChars="200"/>
        <w:jc w:val="left"/>
        <w:textAlignment w:val="auto"/>
        <w:rPr>
          <w:rFonts w:ascii="宋体" w:hAnsi="宋体" w:eastAsia="宋体" w:cs="宋体"/>
          <w:sz w:val="24"/>
          <w:szCs w:val="24"/>
          <w:highlight w:val="none"/>
          <w:u w:val="single"/>
        </w:rPr>
      </w:pPr>
      <w:r>
        <w:rPr>
          <w:rFonts w:hint="eastAsia" w:ascii="宋体" w:hAnsi="宋体" w:eastAsia="宋体" w:cs="宋体"/>
          <w:b/>
          <w:sz w:val="24"/>
          <w:szCs w:val="24"/>
          <w:highlight w:val="none"/>
        </w:rPr>
        <w:t>允许，分包内容要求：</w:t>
      </w:r>
      <w:r>
        <w:rPr>
          <w:rFonts w:hint="eastAsia" w:ascii="宋体" w:hAnsi="宋体" w:eastAsia="宋体" w:cs="宋体"/>
          <w:sz w:val="24"/>
          <w:szCs w:val="24"/>
          <w:highlight w:val="none"/>
          <w:u w:val="single"/>
        </w:rPr>
        <w:t>本工程不允许专业分包，只允许劳务分包</w:t>
      </w:r>
      <w:r>
        <w:rPr>
          <w:rFonts w:hint="eastAsia" w:ascii="宋体" w:hAnsi="宋体" w:eastAsia="宋体" w:cs="宋体"/>
          <w:sz w:val="24"/>
          <w:szCs w:val="24"/>
          <w:highlight w:val="none"/>
        </w:rPr>
        <w:t>。</w:t>
      </w:r>
    </w:p>
    <w:p w14:paraId="0574920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3.6 工程照管与成品、半成品保护</w:t>
      </w:r>
    </w:p>
    <w:p w14:paraId="12BF1214">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承包人负责照管工程及工程相关的材料、工程设备的起始时间：</w:t>
      </w:r>
      <w:r>
        <w:rPr>
          <w:rFonts w:hint="eastAsia" w:ascii="宋体" w:hAnsi="宋体" w:eastAsia="宋体" w:cs="宋体"/>
          <w:kern w:val="0"/>
          <w:sz w:val="24"/>
          <w:szCs w:val="24"/>
          <w:highlight w:val="none"/>
          <w:u w:val="single"/>
        </w:rPr>
        <w:t>自发包人向承包人移交施工现场之日起，直到工程竣工验收合格之日止。</w:t>
      </w:r>
    </w:p>
    <w:p w14:paraId="239BEDC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3.7 履约担保</w:t>
      </w:r>
    </w:p>
    <w:p w14:paraId="069E710E">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承包人是否提供履约担保：</w:t>
      </w:r>
      <w:r>
        <w:rPr>
          <w:rFonts w:hint="eastAsia" w:ascii="宋体" w:hAnsi="宋体" w:eastAsia="宋体" w:cs="宋体"/>
          <w:sz w:val="24"/>
          <w:szCs w:val="24"/>
          <w:highlight w:val="none"/>
          <w:u w:val="single"/>
        </w:rPr>
        <w:t>是</w:t>
      </w:r>
      <w:r>
        <w:rPr>
          <w:rFonts w:hint="eastAsia" w:ascii="宋体" w:hAnsi="宋体" w:eastAsia="宋体" w:cs="宋体"/>
          <w:sz w:val="24"/>
          <w:szCs w:val="24"/>
          <w:highlight w:val="none"/>
        </w:rPr>
        <w:t>。</w:t>
      </w:r>
    </w:p>
    <w:p w14:paraId="1E4F5F90">
      <w:pPr>
        <w:pageBreakBefore w:val="0"/>
        <w:widowControl w:val="0"/>
        <w:kinsoku/>
        <w:wordWrap/>
        <w:overflowPunct/>
        <w:topLinePunct w:val="0"/>
        <w:bidi w:val="0"/>
        <w:spacing w:line="440" w:lineRule="exact"/>
        <w:ind w:firstLine="480"/>
        <w:textAlignment w:val="auto"/>
        <w:rPr>
          <w:rFonts w:ascii="宋体" w:hAnsi="宋体" w:eastAsia="宋体" w:cs="宋体"/>
          <w:sz w:val="24"/>
          <w:highlight w:val="none"/>
        </w:rPr>
      </w:pPr>
      <w:r>
        <w:rPr>
          <w:rFonts w:hint="eastAsia" w:ascii="宋体" w:hAnsi="宋体" w:eastAsia="宋体" w:cs="宋体"/>
          <w:sz w:val="24"/>
          <w:highlight w:val="none"/>
        </w:rPr>
        <w:t>履约担保形式：可采用银行转账、银行保函或专业担保公司保函。</w:t>
      </w:r>
    </w:p>
    <w:p w14:paraId="17049190">
      <w:pPr>
        <w:pageBreakBefore w:val="0"/>
        <w:widowControl w:val="0"/>
        <w:kinsoku/>
        <w:wordWrap/>
        <w:overflowPunct/>
        <w:topLinePunct w:val="0"/>
        <w:bidi w:val="0"/>
        <w:spacing w:line="440" w:lineRule="exact"/>
        <w:ind w:firstLine="480"/>
        <w:textAlignment w:val="auto"/>
        <w:rPr>
          <w:rFonts w:ascii="宋体" w:hAnsi="宋体" w:eastAsia="宋体" w:cs="宋体"/>
          <w:sz w:val="24"/>
          <w:highlight w:val="none"/>
        </w:rPr>
      </w:pPr>
      <w:r>
        <w:rPr>
          <w:rFonts w:hint="eastAsia" w:ascii="宋体" w:hAnsi="宋体" w:eastAsia="宋体" w:cs="宋体"/>
          <w:sz w:val="24"/>
          <w:highlight w:val="none"/>
        </w:rPr>
        <w:t>履约保证金额：合同价的8%（以元为单位取整）。</w:t>
      </w:r>
    </w:p>
    <w:p w14:paraId="55CF84C1">
      <w:pPr>
        <w:pageBreakBefore w:val="0"/>
        <w:widowControl w:val="0"/>
        <w:kinsoku/>
        <w:wordWrap/>
        <w:overflowPunct/>
        <w:topLinePunct w:val="0"/>
        <w:bidi w:val="0"/>
        <w:spacing w:line="440" w:lineRule="exact"/>
        <w:ind w:firstLine="480"/>
        <w:textAlignment w:val="auto"/>
        <w:rPr>
          <w:rFonts w:ascii="宋体" w:hAnsi="宋体" w:eastAsia="宋体" w:cs="宋体"/>
          <w:sz w:val="24"/>
          <w:highlight w:val="none"/>
        </w:rPr>
      </w:pPr>
      <w:r>
        <w:rPr>
          <w:rFonts w:hint="eastAsia" w:ascii="宋体" w:hAnsi="宋体" w:eastAsia="宋体" w:cs="宋体"/>
          <w:sz w:val="24"/>
          <w:highlight w:val="none"/>
        </w:rPr>
        <w:t>担保期限：自双方签订合同生效之日起至竣工验收合格之日。履约担保于发包人签发工程竣工验收报告后可向发包人申请办理退还（不计息）。</w:t>
      </w:r>
    </w:p>
    <w:p w14:paraId="079C0F44">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递交期限：签订施工合同</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15日内，承包人必须把履约担保汇入发包人指定的银行账户，否则按中标人自动放弃中标资格处理。如采用银行保函或专业担保公司保函形式，以发包人需要为准。</w:t>
      </w:r>
    </w:p>
    <w:p w14:paraId="22B4A50F">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p>
    <w:p w14:paraId="64E13391">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1" w:name="_Toc430079003"/>
      <w:bookmarkStart w:id="182" w:name="_Toc24181"/>
      <w:r>
        <w:rPr>
          <w:rFonts w:hint="eastAsia" w:ascii="宋体" w:hAnsi="宋体" w:eastAsia="宋体" w:cs="宋体"/>
          <w:bCs/>
          <w:sz w:val="24"/>
          <w:szCs w:val="24"/>
          <w:highlight w:val="none"/>
        </w:rPr>
        <w:t>4. 监理人</w:t>
      </w:r>
      <w:bookmarkEnd w:id="181"/>
      <w:bookmarkEnd w:id="182"/>
    </w:p>
    <w:p w14:paraId="3994E48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4.1监理人的一般规定</w:t>
      </w:r>
    </w:p>
    <w:p w14:paraId="54DDAB7F">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4"/>
          <w:highlight w:val="none"/>
          <w:u w:val="single"/>
        </w:rPr>
        <w:t>按本工程监理合同约定</w:t>
      </w:r>
      <w:r>
        <w:rPr>
          <w:rFonts w:hint="eastAsia" w:ascii="宋体" w:hAnsi="宋体" w:eastAsia="宋体" w:cs="宋体"/>
          <w:sz w:val="24"/>
          <w:szCs w:val="24"/>
          <w:highlight w:val="none"/>
        </w:rPr>
        <w:t>。</w:t>
      </w:r>
    </w:p>
    <w:p w14:paraId="61D3431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关于监理人的监理权限：</w:t>
      </w:r>
      <w:r>
        <w:rPr>
          <w:rFonts w:hint="eastAsia" w:ascii="宋体" w:hAnsi="宋体" w:eastAsia="宋体" w:cs="宋体"/>
          <w:sz w:val="24"/>
          <w:szCs w:val="24"/>
          <w:highlight w:val="none"/>
          <w:u w:val="single"/>
        </w:rPr>
        <w:t>按本工程监理合同约定</w:t>
      </w:r>
      <w:r>
        <w:rPr>
          <w:rFonts w:hint="eastAsia" w:ascii="宋体" w:hAnsi="宋体" w:eastAsia="宋体" w:cs="宋体"/>
          <w:sz w:val="24"/>
          <w:szCs w:val="24"/>
          <w:highlight w:val="none"/>
        </w:rPr>
        <w:t>。</w:t>
      </w:r>
    </w:p>
    <w:p w14:paraId="7720FA9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关于监理人在施工现场的办公场所、生活场所的提供和费用承担的约定：</w:t>
      </w:r>
      <w:r>
        <w:rPr>
          <w:rFonts w:hint="eastAsia" w:ascii="宋体" w:hAnsi="宋体" w:eastAsia="宋体" w:cs="宋体"/>
          <w:sz w:val="24"/>
          <w:szCs w:val="24"/>
          <w:highlight w:val="none"/>
          <w:u w:val="single"/>
        </w:rPr>
        <w:t>按本工程监理合同约定</w:t>
      </w:r>
      <w:r>
        <w:rPr>
          <w:rFonts w:hint="eastAsia" w:ascii="宋体" w:hAnsi="宋体" w:eastAsia="宋体" w:cs="宋体"/>
          <w:sz w:val="24"/>
          <w:szCs w:val="24"/>
          <w:highlight w:val="none"/>
        </w:rPr>
        <w:t>。</w:t>
      </w:r>
    </w:p>
    <w:p w14:paraId="529A245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4.2 监理人员</w:t>
      </w:r>
    </w:p>
    <w:p w14:paraId="3B3F0FD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总监理工程师：</w:t>
      </w:r>
    </w:p>
    <w:p w14:paraId="78D3FB5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姓    名：</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301F778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职    务：</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1ED6963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监理工程师执业资格证书号：</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6FDE21C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联系电话：</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110AC42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电子信箱：</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9F9396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通信地址：</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51140D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关于监理人的其他约定：</w:t>
      </w:r>
      <w:r>
        <w:rPr>
          <w:rFonts w:hint="eastAsia" w:ascii="宋体" w:hAnsi="宋体" w:eastAsia="宋体" w:cs="宋体"/>
          <w:sz w:val="24"/>
          <w:szCs w:val="24"/>
          <w:highlight w:val="none"/>
          <w:u w:val="single"/>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3FC6B93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4.4 商定或确定</w:t>
      </w:r>
    </w:p>
    <w:p w14:paraId="690448C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在发包人和承包人不能通过协商达成一致意见时，发包人授权监理人对以下事项进行确定：</w:t>
      </w:r>
      <w:r>
        <w:rPr>
          <w:rFonts w:hint="eastAsia" w:ascii="宋体" w:hAnsi="宋体" w:eastAsia="宋体" w:cs="宋体"/>
          <w:sz w:val="24"/>
          <w:szCs w:val="24"/>
          <w:highlight w:val="none"/>
          <w:u w:val="single"/>
        </w:rPr>
        <w:t>具体详见监理合同</w:t>
      </w:r>
      <w:r>
        <w:rPr>
          <w:rFonts w:hint="eastAsia" w:ascii="宋体" w:hAnsi="宋体" w:eastAsia="宋体" w:cs="宋体"/>
          <w:sz w:val="24"/>
          <w:szCs w:val="24"/>
          <w:highlight w:val="none"/>
        </w:rPr>
        <w:t>。</w:t>
      </w:r>
    </w:p>
    <w:p w14:paraId="568BCAAB">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p>
    <w:p w14:paraId="3A9B79F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3" w:name="_Toc23079"/>
      <w:bookmarkStart w:id="184" w:name="_Toc430079004"/>
      <w:r>
        <w:rPr>
          <w:rFonts w:hint="eastAsia" w:ascii="宋体" w:hAnsi="宋体" w:eastAsia="宋体" w:cs="宋体"/>
          <w:bCs/>
          <w:sz w:val="24"/>
          <w:szCs w:val="24"/>
          <w:highlight w:val="none"/>
        </w:rPr>
        <w:t>5. 工程质量</w:t>
      </w:r>
      <w:bookmarkEnd w:id="183"/>
      <w:bookmarkEnd w:id="184"/>
    </w:p>
    <w:p w14:paraId="0558626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 质量要求</w:t>
      </w:r>
    </w:p>
    <w:p w14:paraId="3891EB7C">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 特殊质量标准和要求：</w:t>
      </w:r>
    </w:p>
    <w:p w14:paraId="789AC067">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（1）合同工程质量标准：符合国家有关施工质量验收标准达到合格标准。如达不到质量标准，即为验收不合格，发包人有权不再支付工程费用。</w:t>
      </w:r>
    </w:p>
    <w:p w14:paraId="17ABE49F">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工程质量验收标准：①符合中华人民共和国国家规定的现行施工竣工验收规范、标准（或地方政府主管机关的具体规范、标准）；②上级主管部门有关工程竣工的文件和规定；③符合招标文件的工程技术指标及各项要求；④工程设计文件及施工、设计图纸；⑤双方共同协商的标准。</w:t>
      </w:r>
    </w:p>
    <w:p w14:paraId="68ACBB1D">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关于工程奖项的约定：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1A4614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5.3 隐蔽工程检查</w:t>
      </w:r>
    </w:p>
    <w:p w14:paraId="3130C0CC">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5.3.2承包人提前通知发包人隐蔽工程检查的期限的约定：</w:t>
      </w:r>
      <w:r>
        <w:rPr>
          <w:rFonts w:hint="eastAsia" w:ascii="宋体" w:hAnsi="宋体" w:eastAsia="宋体" w:cs="宋体"/>
          <w:sz w:val="24"/>
          <w:szCs w:val="24"/>
          <w:highlight w:val="none"/>
          <w:u w:val="single"/>
        </w:rPr>
        <w:t>按国家、部门的规范标准、地方性文件规定及设计图纸执行。</w:t>
      </w:r>
    </w:p>
    <w:p w14:paraId="44A51E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14:paraId="3614E50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 xml:space="preserve"> 48 </w:t>
      </w:r>
      <w:r>
        <w:rPr>
          <w:rFonts w:hint="eastAsia" w:ascii="宋体" w:hAnsi="宋体" w:eastAsia="宋体" w:cs="宋体"/>
          <w:sz w:val="24"/>
          <w:szCs w:val="24"/>
          <w:highlight w:val="none"/>
        </w:rPr>
        <w:t>小时。</w:t>
      </w:r>
    </w:p>
    <w:p w14:paraId="46AF1B0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331490AE">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5" w:name="_Toc430079005"/>
      <w:bookmarkStart w:id="186" w:name="_Toc18350"/>
      <w:r>
        <w:rPr>
          <w:rFonts w:hint="eastAsia" w:ascii="宋体" w:hAnsi="宋体" w:eastAsia="宋体" w:cs="宋体"/>
          <w:bCs/>
          <w:sz w:val="24"/>
          <w:szCs w:val="24"/>
          <w:highlight w:val="none"/>
        </w:rPr>
        <w:t>6. 安全文明施工与环境保护</w:t>
      </w:r>
      <w:bookmarkEnd w:id="185"/>
      <w:bookmarkEnd w:id="186"/>
    </w:p>
    <w:p w14:paraId="3FFC97F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6.1安全文明施工</w:t>
      </w:r>
    </w:p>
    <w:p w14:paraId="4124FE9C">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6.1.1 项目安全生产的达标目标及相应事项的约定：</w:t>
      </w:r>
    </w:p>
    <w:p w14:paraId="3DDF617F">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按国家、省、市及有关部门颁发的相关规定对施工现场和施工方法采取有效的安全措施，确保安全施工，同时必须协同主体工程建设施工单位做好安全施工工作</w:t>
      </w:r>
      <w:r>
        <w:rPr>
          <w:rFonts w:hint="eastAsia" w:ascii="宋体" w:hAnsi="宋体" w:eastAsia="宋体" w:cs="宋体"/>
          <w:sz w:val="24"/>
          <w:szCs w:val="24"/>
          <w:highlight w:val="none"/>
        </w:rPr>
        <w:t xml:space="preserve">。 </w:t>
      </w:r>
    </w:p>
    <w:p w14:paraId="1B8C4ACF">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任何因承包人原因造成的工程、财产和人身伤害及安全事故，由承包人承担一切经济及法律责任并负责事后补救，发包人有权解除合同。</w:t>
      </w:r>
    </w:p>
    <w:p w14:paraId="5CEF4793">
      <w:pPr>
        <w:pageBreakBefore w:val="0"/>
        <w:widowControl w:val="0"/>
        <w:kinsoku/>
        <w:wordWrap/>
        <w:overflowPunct/>
        <w:topLinePunct w:val="0"/>
        <w:bidi w:val="0"/>
        <w:spacing w:line="440" w:lineRule="exact"/>
        <w:ind w:firstLine="33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做好安全文明施工工作，如因措施不当造成人身安全或工伤死亡事故，一切责任由承包人负责。承包人应按照要求办理其施工机械设备和雇佣职工安全事故保险，费用由承包人负担。</w:t>
      </w:r>
    </w:p>
    <w:p w14:paraId="568BC781">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（4）</w:t>
      </w:r>
      <w:r>
        <w:rPr>
          <w:rFonts w:hint="eastAsia" w:ascii="宋体" w:hAnsi="宋体" w:eastAsia="宋体" w:cs="宋体"/>
          <w:sz w:val="24"/>
          <w:szCs w:val="24"/>
          <w:highlight w:val="none"/>
          <w:u w:val="single"/>
        </w:rPr>
        <w:t>做好安全措施，定期组织工人进行集体培训，内容除技术技能、职业道德和服务态度外，还要特别强调作业安全，杜绝安全事故发生</w:t>
      </w:r>
      <w:r>
        <w:rPr>
          <w:rFonts w:hint="eastAsia" w:ascii="宋体" w:hAnsi="宋体" w:eastAsia="宋体" w:cs="宋体"/>
          <w:sz w:val="24"/>
          <w:szCs w:val="24"/>
          <w:highlight w:val="none"/>
        </w:rPr>
        <w:t>。</w:t>
      </w:r>
    </w:p>
    <w:p w14:paraId="6A139C14">
      <w:pPr>
        <w:pageBreakBefore w:val="0"/>
        <w:widowControl w:val="0"/>
        <w:kinsoku/>
        <w:wordWrap/>
        <w:overflowPunct/>
        <w:topLinePunct w:val="0"/>
        <w:bidi w:val="0"/>
        <w:spacing w:line="440" w:lineRule="exact"/>
        <w:ind w:firstLine="544" w:firstLineChars="227"/>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6.1.4 关于治安保卫的特别约定：</w:t>
      </w:r>
      <w:r>
        <w:rPr>
          <w:rFonts w:hint="eastAsia" w:ascii="宋体" w:hAnsi="宋体" w:eastAsia="宋体" w:cs="宋体"/>
          <w:sz w:val="24"/>
          <w:szCs w:val="24"/>
          <w:highlight w:val="none"/>
          <w:u w:val="single"/>
        </w:rPr>
        <w:t>按工程所在地的治安管理规定执行，协同主体工程建设施工单位做好安保工作</w:t>
      </w:r>
      <w:r>
        <w:rPr>
          <w:rFonts w:hint="eastAsia" w:ascii="宋体" w:hAnsi="宋体" w:eastAsia="宋体" w:cs="宋体"/>
          <w:sz w:val="24"/>
          <w:szCs w:val="24"/>
          <w:highlight w:val="none"/>
        </w:rPr>
        <w:t>。</w:t>
      </w:r>
    </w:p>
    <w:p w14:paraId="37C5438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关于编制施工场地治安管理计划的约定：</w:t>
      </w:r>
      <w:r>
        <w:rPr>
          <w:rFonts w:hint="eastAsia" w:ascii="宋体" w:hAnsi="宋体" w:eastAsia="宋体" w:cs="宋体"/>
          <w:sz w:val="24"/>
          <w:szCs w:val="24"/>
          <w:highlight w:val="none"/>
          <w:u w:val="single"/>
        </w:rPr>
        <w:t>应与当地公安部门协商</w:t>
      </w:r>
      <w:r>
        <w:rPr>
          <w:rFonts w:hint="eastAsia" w:ascii="宋体" w:hAnsi="宋体" w:eastAsia="宋体" w:cs="宋体"/>
          <w:sz w:val="24"/>
          <w:szCs w:val="24"/>
          <w:highlight w:val="none"/>
        </w:rPr>
        <w:t>。</w:t>
      </w:r>
    </w:p>
    <w:p w14:paraId="5417FF2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6.1.5 文明施工</w:t>
      </w:r>
    </w:p>
    <w:p w14:paraId="0CB48581">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合同当事人对文明施工的要求：</w:t>
      </w:r>
      <w:r>
        <w:rPr>
          <w:rFonts w:hint="eastAsia" w:ascii="宋体" w:hAnsi="宋体" w:eastAsia="宋体" w:cs="宋体"/>
          <w:b/>
          <w:sz w:val="24"/>
          <w:szCs w:val="24"/>
          <w:highlight w:val="none"/>
          <w:u w:val="single"/>
        </w:rPr>
        <w:t>承</w:t>
      </w:r>
      <w:r>
        <w:rPr>
          <w:rFonts w:hint="eastAsia" w:ascii="宋体" w:hAnsi="宋体" w:eastAsia="宋体" w:cs="宋体"/>
          <w:b/>
          <w:sz w:val="24"/>
          <w:highlight w:val="none"/>
          <w:u w:val="single"/>
        </w:rPr>
        <w:t>包人应按照国家有关要求采取相应措施，注意施工安全，做好安全文明施工工作，承包人雇请的人员发生工伤或其他人身损害，或因承包人对施工现场的安全防护措施或工作有疏忽而导致其他人员的人身或财产损害，一切责任由承包人负责。承包人在施工中必须按相关规定和标准设置安全标志、标牌等，否则由发包人指定制作，发生的费用在其工程款中扣除</w:t>
      </w:r>
      <w:r>
        <w:rPr>
          <w:rFonts w:hint="eastAsia" w:ascii="宋体" w:hAnsi="宋体" w:eastAsia="宋体" w:cs="宋体"/>
          <w:sz w:val="24"/>
          <w:szCs w:val="24"/>
          <w:highlight w:val="none"/>
        </w:rPr>
        <w:t>。</w:t>
      </w:r>
    </w:p>
    <w:p w14:paraId="7BA835C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bookmarkStart w:id="187" w:name="_Toc430079006"/>
      <w:bookmarkStart w:id="188" w:name="_Toc10422"/>
      <w:r>
        <w:rPr>
          <w:rFonts w:hint="eastAsia" w:ascii="宋体" w:hAnsi="宋体" w:eastAsia="宋体" w:cs="宋体"/>
          <w:sz w:val="24"/>
          <w:szCs w:val="24"/>
          <w:highlight w:val="none"/>
        </w:rPr>
        <w:t>6.1.6 关于绿色施工安全防护措施费支付比例和支付期限的约定:不单独支付。为了加强对</w:t>
      </w:r>
      <w:r>
        <w:rPr>
          <w:rFonts w:hint="eastAsia" w:ascii="宋体" w:hAnsi="宋体" w:eastAsia="宋体" w:cs="宋体"/>
          <w:sz w:val="24"/>
          <w:szCs w:val="24"/>
          <w:highlight w:val="none"/>
          <w:lang w:eastAsia="zh-CN"/>
        </w:rPr>
        <w:t>建筑工程</w:t>
      </w:r>
      <w:r>
        <w:rPr>
          <w:rFonts w:hint="eastAsia" w:ascii="宋体" w:hAnsi="宋体" w:eastAsia="宋体" w:cs="宋体"/>
          <w:sz w:val="24"/>
          <w:szCs w:val="24"/>
          <w:highlight w:val="none"/>
        </w:rPr>
        <w:t>绿色施工安全防护措施费专款专用的监督管理，防止和减小事故发生，保持施工场地整洁美观, 制定如下要求：</w:t>
      </w:r>
    </w:p>
    <w:p w14:paraId="37A65C04">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（1）绿色施工安全防护措施费按施工进度款支付给施工单位。</w:t>
      </w:r>
    </w:p>
    <w:p w14:paraId="78823BF8">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为确保文明绿色施工安全防护措施费的落实，发包人对工地实行不定期检查或与区、镇街有关行政主管部门的巡查，对检查不合格、对存在问题无落实整改或发生质量安全事故的项目，根据检查报告在当期进度款中（含绿色施工安全防护措施费）直接扣除1000元/次费用。无需施工单位确认是否同意，并在结算时扣除该违约金。</w:t>
      </w:r>
    </w:p>
    <w:p w14:paraId="64A631F2">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6.1.7在施工过程中，承包人必须执行文明施工、安全施工的规定，每项工序施工必须有持证的工作人员。如有出现安全事故或被有关部门处罚，一切责任由承包人负担，并承担由此而引起的经济和法律责任。</w:t>
      </w:r>
    </w:p>
    <w:p w14:paraId="31107E07">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u w:val="single"/>
        </w:rPr>
        <w:t>6.1.8承包人应严格遵守有关环境保护法律、法规，并按照环境监察审核工作要求，加强施工现场的环境管理，在施工过程中严格落实粉尘、废水等污染防治措施及生态保护、水源保护措施。</w:t>
      </w:r>
    </w:p>
    <w:p w14:paraId="0851CC6D">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r>
        <w:rPr>
          <w:rFonts w:hint="eastAsia" w:ascii="宋体" w:hAnsi="宋体" w:eastAsia="宋体" w:cs="宋体"/>
          <w:bCs/>
          <w:sz w:val="24"/>
          <w:szCs w:val="24"/>
          <w:highlight w:val="none"/>
        </w:rPr>
        <w:t>7. 工期和进度</w:t>
      </w:r>
      <w:bookmarkEnd w:id="187"/>
      <w:bookmarkEnd w:id="188"/>
    </w:p>
    <w:p w14:paraId="21D45F0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7.1 施工组织设计</w:t>
      </w:r>
    </w:p>
    <w:p w14:paraId="72399452">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7.1.1 合</w:t>
      </w:r>
      <w:r>
        <w:rPr>
          <w:rFonts w:hint="eastAsia" w:ascii="宋体" w:hAnsi="宋体" w:eastAsia="宋体" w:cs="宋体"/>
          <w:kern w:val="0"/>
          <w:sz w:val="24"/>
          <w:szCs w:val="24"/>
          <w:highlight w:val="none"/>
        </w:rPr>
        <w:t>同当事人约定的施工组织设计应包括的其他内容：</w:t>
      </w:r>
      <w:r>
        <w:rPr>
          <w:rFonts w:hint="eastAsia" w:ascii="宋体" w:hAnsi="宋体" w:eastAsia="宋体" w:cs="宋体"/>
          <w:kern w:val="0"/>
          <w:sz w:val="24"/>
          <w:szCs w:val="24"/>
          <w:highlight w:val="none"/>
          <w:u w:val="single"/>
        </w:rPr>
        <w:t>在收到本工程的施工图纸后7日内提交施工组织设计和工程进度计划及其申报表，逾期的罚款500元/天。承包人必须按监理工程师确认的进度计划组织施工，接受监理工程师对进度的检查、监督。工程实际进度对于在竣工时间内完工过于迟缓或与经确认的进度计划不符时，监理工程师可提出建议采用的改进措施，承包人应按监理工程师的建议提出改进措施，提交一份修订的进度计划，经监理工程师确认后执行。因承包人的原因导致实际进度与进度计划不符，承包人无权就改进措施提出追加合同价款</w:t>
      </w:r>
      <w:r>
        <w:rPr>
          <w:rFonts w:hint="eastAsia" w:ascii="宋体" w:hAnsi="宋体" w:eastAsia="宋体" w:cs="宋体"/>
          <w:sz w:val="24"/>
          <w:szCs w:val="24"/>
          <w:highlight w:val="none"/>
        </w:rPr>
        <w:t>。</w:t>
      </w:r>
    </w:p>
    <w:p w14:paraId="4AAE4B9C">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7.1.2 施工组织设计的提交和修改</w:t>
      </w:r>
    </w:p>
    <w:p w14:paraId="54A4DEA4">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4"/>
          <w:highlight w:val="none"/>
          <w:u w:val="single"/>
        </w:rPr>
        <w:t>签订合同</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7天内</w:t>
      </w:r>
      <w:r>
        <w:rPr>
          <w:rFonts w:hint="eastAsia" w:ascii="宋体" w:hAnsi="宋体" w:eastAsia="宋体" w:cs="宋体"/>
          <w:sz w:val="24"/>
          <w:szCs w:val="24"/>
          <w:highlight w:val="none"/>
        </w:rPr>
        <w:t>。</w:t>
      </w:r>
    </w:p>
    <w:p w14:paraId="6F93FD72">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发包人在收到详细的施工组织设计后确认或提出修改意见的期限：</w:t>
      </w:r>
    </w:p>
    <w:p w14:paraId="774FB99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承包人如未能按审核后的施工组织设计进行实施，由发包人和监理单位共同发出工程整改通知书，承包人须在收到整改通知书后一周内（含收到整改通知书当天）就整改通知书内容完成整改，否则发包人有权终止合同。</w:t>
      </w:r>
    </w:p>
    <w:p w14:paraId="739BB71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2）承包人如未能按审核后的施工进度计划进行实施，由发包人和监理单位共同发出工程整改通知书，承包人须在收到整改通知书后一周内（含收到整改通知书当天）达到进度要求，否则发包人有权终止合同。</w:t>
      </w:r>
    </w:p>
    <w:p w14:paraId="4F5BAA0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承包人如在本工程施工中施工质量未能达到相关规范要求，由发包人和监理单位共同发出工程整改通知书，承包人须在收到整改通知书后三天内（含收到整改通知书当天）完成整改，否则发包人有权终止合同。</w:t>
      </w:r>
    </w:p>
    <w:p w14:paraId="39B2340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7.2 施工进度计划</w:t>
      </w:r>
    </w:p>
    <w:p w14:paraId="1A79B7B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7.2.2 施工进度计划的修订</w:t>
      </w:r>
    </w:p>
    <w:p w14:paraId="2BAEB4F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发包人在收到修订的施工进度计划后确认或提出修改意见的期限：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116BDF4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7.3 开工</w:t>
      </w:r>
    </w:p>
    <w:p w14:paraId="11DBACB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7.3.1 开工准备</w:t>
      </w:r>
    </w:p>
    <w:p w14:paraId="200F99C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关于承包人提交</w:t>
      </w:r>
      <w:r>
        <w:rPr>
          <w:rFonts w:hint="eastAsia" w:ascii="宋体" w:hAnsi="宋体" w:eastAsia="宋体" w:cs="宋体"/>
          <w:kern w:val="0"/>
          <w:sz w:val="24"/>
          <w:szCs w:val="24"/>
          <w:highlight w:val="none"/>
        </w:rPr>
        <w:t>工程开工报审表的期限：</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519EB43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072274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74D801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7.3.2开工通知</w:t>
      </w:r>
    </w:p>
    <w:p w14:paraId="711576DC">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承包人应在签订本合同</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的5天内，向监理工程师提交开工申请书，并附上表明已做好开工准备的有关资料。监理工程师应在本合同签订</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的3天内报发包人，发包人向承包人发出开工通知；承包人应在接到开工通知</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的3天内开工，然后一直保持合同工程连续均衡地施工。</w:t>
      </w:r>
    </w:p>
    <w:p w14:paraId="76A8D53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因发包人原因造成未能在计划开工日期之日起</w:t>
      </w:r>
      <w:r>
        <w:rPr>
          <w:rFonts w:hint="eastAsia" w:ascii="宋体" w:hAnsi="宋体" w:eastAsia="宋体" w:cs="宋体"/>
          <w:sz w:val="24"/>
          <w:szCs w:val="24"/>
          <w:highlight w:val="none"/>
          <w:u w:val="single"/>
        </w:rPr>
        <w:t xml:space="preserve"> 90</w:t>
      </w:r>
      <w:r>
        <w:rPr>
          <w:rFonts w:hint="eastAsia" w:ascii="宋体" w:hAnsi="宋体" w:eastAsia="宋体" w:cs="宋体"/>
          <w:sz w:val="24"/>
          <w:szCs w:val="24"/>
          <w:highlight w:val="none"/>
        </w:rPr>
        <w:t>天内发出开工通知的，承包人有权提出价格调整要求，或者解除合同。</w:t>
      </w:r>
    </w:p>
    <w:p w14:paraId="60564CA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7.4 测量放线</w:t>
      </w:r>
    </w:p>
    <w:p w14:paraId="393770E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7.4.1发包人向承包人提供测量基准点、基准线和水准点及其书面资料的期限：</w:t>
      </w:r>
      <w:r>
        <w:rPr>
          <w:rFonts w:hint="eastAsia" w:ascii="宋体" w:hAnsi="宋体" w:eastAsia="宋体" w:cs="宋体"/>
          <w:sz w:val="24"/>
          <w:szCs w:val="24"/>
          <w:highlight w:val="none"/>
          <w:u w:val="single"/>
        </w:rPr>
        <w:t>按通用条款规定</w:t>
      </w:r>
      <w:r>
        <w:rPr>
          <w:rFonts w:hint="eastAsia" w:ascii="宋体" w:hAnsi="宋体" w:eastAsia="宋体" w:cs="宋体"/>
          <w:sz w:val="24"/>
          <w:szCs w:val="24"/>
          <w:highlight w:val="none"/>
        </w:rPr>
        <w:t>。</w:t>
      </w:r>
    </w:p>
    <w:p w14:paraId="752E083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7.5 工期延误</w:t>
      </w:r>
    </w:p>
    <w:p w14:paraId="69FCC46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7.5.1 因发包人原因导致工期延误</w:t>
      </w:r>
    </w:p>
    <w:p w14:paraId="6367A30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（7）因发包人原因导致工期延误的其他情形：</w:t>
      </w:r>
      <w:r>
        <w:rPr>
          <w:rFonts w:hint="eastAsia" w:ascii="宋体" w:hAnsi="宋体" w:eastAsia="宋体" w:cs="宋体"/>
          <w:sz w:val="24"/>
          <w:szCs w:val="24"/>
          <w:highlight w:val="none"/>
          <w:u w:val="single"/>
        </w:rPr>
        <w:t>若因发包人原因造成工期延误的，工期相应后延。因不可抗力的原因造成的工期延误，应在不可抗力事件结束之日起5天内经发包人的签证确认后，工期可相应顺延，双方办理同意顺延工期手续。</w:t>
      </w:r>
    </w:p>
    <w:p w14:paraId="0A88692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7.5.2 因承包人原因导致工期延误</w:t>
      </w:r>
    </w:p>
    <w:p w14:paraId="7C9B6F1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因承包人原因造成工期延误，逾期完工违约金的计算方法为：</w:t>
      </w:r>
      <w:r>
        <w:rPr>
          <w:rFonts w:hint="eastAsia" w:ascii="宋体" w:hAnsi="宋体" w:eastAsia="宋体" w:cs="宋体"/>
          <w:sz w:val="24"/>
          <w:szCs w:val="24"/>
          <w:highlight w:val="none"/>
          <w:u w:val="single"/>
        </w:rPr>
        <w:t>违约金额为每延迟一天</w:t>
      </w:r>
      <w:r>
        <w:rPr>
          <w:rFonts w:hint="eastAsia" w:ascii="宋体" w:hAnsi="宋体" w:eastAsia="宋体" w:cs="宋体"/>
          <w:b/>
          <w:sz w:val="24"/>
          <w:szCs w:val="24"/>
          <w:highlight w:val="none"/>
          <w:u w:val="single"/>
        </w:rPr>
        <w:t>1000</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rPr>
        <w:t>。</w:t>
      </w:r>
    </w:p>
    <w:p w14:paraId="7092F30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因承包人原因造成工期延误，逾期完工违约金的上限：</w:t>
      </w:r>
      <w:r>
        <w:rPr>
          <w:rFonts w:hint="eastAsia" w:ascii="宋体" w:hAnsi="宋体" w:eastAsia="宋体" w:cs="宋体"/>
          <w:sz w:val="24"/>
          <w:szCs w:val="24"/>
          <w:highlight w:val="none"/>
          <w:u w:val="single"/>
        </w:rPr>
        <w:t>合同价的10%</w:t>
      </w:r>
      <w:r>
        <w:rPr>
          <w:rFonts w:hint="eastAsia" w:ascii="宋体" w:hAnsi="宋体" w:eastAsia="宋体" w:cs="宋体"/>
          <w:sz w:val="24"/>
          <w:szCs w:val="24"/>
          <w:highlight w:val="none"/>
        </w:rPr>
        <w:t>。</w:t>
      </w:r>
    </w:p>
    <w:p w14:paraId="070D0C7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如工期延误逾期完工违约金超出上限的，发包人有权解除施工合同，并没收履约保证金。</w:t>
      </w:r>
    </w:p>
    <w:p w14:paraId="40D200A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7.6 不利物质条件</w:t>
      </w:r>
    </w:p>
    <w:p w14:paraId="1BB68BB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4"/>
          <w:highlight w:val="none"/>
          <w:u w:val="single"/>
        </w:rPr>
        <w:t>按通用条款规定</w:t>
      </w:r>
      <w:r>
        <w:rPr>
          <w:rFonts w:hint="eastAsia" w:ascii="宋体" w:hAnsi="宋体" w:eastAsia="宋体" w:cs="宋体"/>
          <w:sz w:val="24"/>
          <w:szCs w:val="24"/>
          <w:highlight w:val="none"/>
        </w:rPr>
        <w:t>。</w:t>
      </w:r>
    </w:p>
    <w:p w14:paraId="55C0D2F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7.9 提前竣工的奖励</w:t>
      </w:r>
    </w:p>
    <w:p w14:paraId="7C23702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7.9.2提前竣工的奖励：</w:t>
      </w:r>
      <w:r>
        <w:rPr>
          <w:rFonts w:hint="eastAsia" w:ascii="宋体" w:hAnsi="宋体" w:eastAsia="宋体" w:cs="宋体"/>
          <w:sz w:val="24"/>
          <w:szCs w:val="24"/>
          <w:highlight w:val="none"/>
          <w:u w:val="single"/>
        </w:rPr>
        <w:t>无</w:t>
      </w:r>
      <w:r>
        <w:rPr>
          <w:rFonts w:hint="eastAsia" w:ascii="宋体" w:hAnsi="宋体" w:eastAsia="宋体" w:cs="宋体"/>
          <w:sz w:val="24"/>
          <w:szCs w:val="24"/>
          <w:highlight w:val="none"/>
        </w:rPr>
        <w:t>。</w:t>
      </w:r>
    </w:p>
    <w:p w14:paraId="07765B2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5BCABC06">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9" w:name="_Toc26234"/>
      <w:bookmarkStart w:id="190" w:name="_Toc430079007"/>
      <w:r>
        <w:rPr>
          <w:rFonts w:hint="eastAsia" w:ascii="宋体" w:hAnsi="宋体" w:eastAsia="宋体" w:cs="宋体"/>
          <w:bCs/>
          <w:sz w:val="24"/>
          <w:szCs w:val="24"/>
          <w:highlight w:val="none"/>
        </w:rPr>
        <w:t>8. 材料与设备</w:t>
      </w:r>
      <w:bookmarkEnd w:id="189"/>
      <w:bookmarkEnd w:id="190"/>
    </w:p>
    <w:p w14:paraId="1F052A8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8.2承包人采购材料与工程设备</w:t>
      </w:r>
    </w:p>
    <w:p w14:paraId="4A696C47">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承包人负责采购材料设备的，应按照合同文件有关要求，采购前应取得发包人和监理工程师同意及按设计和有关标准要求采购，并提供产品合格证明，对材料设备质量负责。未取得发包人和监理工程师批准的，不予计量。</w:t>
      </w:r>
    </w:p>
    <w:p w14:paraId="58B5EF3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u w:val="single"/>
        </w:rPr>
        <w:t>（2）本工程选用的材料质量均应符合国家标准要求，并能通过相关管理部门验收合格，参考图纸、招标文件及工程量清单所提供的材料品种、型号、规格来报价，并作为施工材料招标的依据。在工程施工过程中，承包人应按照投标承诺及设计和有关标准要求供应材料，并提供产品合格证明，对材料设备质量负责。</w:t>
      </w:r>
      <w:r>
        <w:rPr>
          <w:rFonts w:hint="eastAsia" w:ascii="宋体" w:hAnsi="宋体" w:eastAsia="宋体" w:cs="宋体"/>
          <w:b/>
          <w:bCs/>
          <w:sz w:val="24"/>
          <w:szCs w:val="24"/>
          <w:highlight w:val="none"/>
          <w:u w:val="single"/>
        </w:rPr>
        <w:t>对于本工程的主要材料发包人有权在承包人采购材料前提供不少于3份的材料样板供发包人选择，经发包人以及监理工程师确认后方可采购；材料样板由发包人保存，如承包人采购的材料与样板不符，发包人有权拒绝该项材料进场使用</w:t>
      </w:r>
      <w:r>
        <w:rPr>
          <w:rFonts w:hint="eastAsia" w:ascii="宋体" w:hAnsi="宋体" w:eastAsia="宋体" w:cs="宋体"/>
          <w:sz w:val="24"/>
          <w:szCs w:val="24"/>
          <w:highlight w:val="none"/>
          <w:u w:val="single"/>
        </w:rPr>
        <w:t>。</w:t>
      </w:r>
    </w:p>
    <w:p w14:paraId="4314370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（3）承包人采购的材料设备在使用前，承包人应按监理工程师的要求进行检验或试验，不合格的不得使用，检验或试验费用由承包人承担。</w:t>
      </w:r>
    </w:p>
    <w:p w14:paraId="7B24F47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（4）监理工程师发现承包人采购并使用不符合设计或标准要求的材料设备时，应要求由承包人负责修复、拆除或重新采购，并承担发生的费用，由此延误的工期不予顺延。</w:t>
      </w:r>
    </w:p>
    <w:p w14:paraId="00C2C6A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8.4材料与工程设备的保管与使用</w:t>
      </w:r>
    </w:p>
    <w:p w14:paraId="1984035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8.4.1发包人供应的材料设备的保管费用的承担：</w:t>
      </w:r>
      <w:r>
        <w:rPr>
          <w:rFonts w:hint="eastAsia" w:ascii="宋体" w:hAnsi="宋体" w:eastAsia="宋体" w:cs="宋体"/>
          <w:sz w:val="24"/>
          <w:szCs w:val="24"/>
          <w:highlight w:val="none"/>
          <w:u w:val="single"/>
        </w:rPr>
        <w:t>发包人不供应材料和工程设备</w:t>
      </w:r>
      <w:r>
        <w:rPr>
          <w:rFonts w:hint="eastAsia" w:ascii="宋体" w:hAnsi="宋体" w:eastAsia="宋体" w:cs="宋体"/>
          <w:sz w:val="24"/>
          <w:szCs w:val="24"/>
          <w:highlight w:val="none"/>
        </w:rPr>
        <w:t>。</w:t>
      </w:r>
    </w:p>
    <w:p w14:paraId="5C5B9A7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8.6 样品</w:t>
      </w:r>
    </w:p>
    <w:p w14:paraId="4CECAD61">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8.6.1</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样品的报送与封存</w:t>
      </w:r>
    </w:p>
    <w:p w14:paraId="1C12672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需要承包人报送样品的材料或工程设备，样品的种类、名称、规格、数量要求：</w:t>
      </w:r>
      <w:r>
        <w:rPr>
          <w:rFonts w:hint="eastAsia" w:ascii="宋体" w:hAnsi="宋体" w:eastAsia="宋体" w:cs="宋体"/>
          <w:sz w:val="24"/>
          <w:szCs w:val="24"/>
          <w:highlight w:val="none"/>
          <w:u w:val="single"/>
        </w:rPr>
        <w:t>发包人认为重要的需报送的材料或工程设备需经发包人认可后方可采购和进场</w:t>
      </w:r>
      <w:r>
        <w:rPr>
          <w:rFonts w:hint="eastAsia" w:ascii="宋体" w:hAnsi="宋体" w:eastAsia="宋体" w:cs="宋体"/>
          <w:sz w:val="24"/>
          <w:szCs w:val="24"/>
          <w:highlight w:val="none"/>
        </w:rPr>
        <w:t>。</w:t>
      </w:r>
    </w:p>
    <w:p w14:paraId="511B381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8.8 施工设备和临时设施</w:t>
      </w:r>
    </w:p>
    <w:p w14:paraId="2169870C">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8.8.1 承包人提供的施工设备和临时设施</w:t>
      </w:r>
    </w:p>
    <w:p w14:paraId="7AE806E9">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关于修建临时设施费用承担的约定：</w:t>
      </w:r>
      <w:r>
        <w:rPr>
          <w:rFonts w:hint="eastAsia" w:ascii="宋体" w:hAnsi="宋体" w:eastAsia="宋体" w:cs="宋体"/>
          <w:sz w:val="24"/>
          <w:szCs w:val="24"/>
          <w:highlight w:val="none"/>
          <w:u w:val="single"/>
        </w:rPr>
        <w:t>由承包人承担</w:t>
      </w:r>
      <w:r>
        <w:rPr>
          <w:rFonts w:hint="eastAsia" w:ascii="宋体" w:hAnsi="宋体" w:eastAsia="宋体" w:cs="宋体"/>
          <w:sz w:val="24"/>
          <w:szCs w:val="24"/>
          <w:highlight w:val="none"/>
        </w:rPr>
        <w:t>。</w:t>
      </w:r>
    </w:p>
    <w:p w14:paraId="159205AB">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p>
    <w:p w14:paraId="0F7968D9">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1" w:name="_Toc430079008"/>
      <w:bookmarkStart w:id="192" w:name="_Toc12678"/>
      <w:r>
        <w:rPr>
          <w:rFonts w:hint="eastAsia" w:ascii="宋体" w:hAnsi="宋体" w:eastAsia="宋体" w:cs="宋体"/>
          <w:bCs/>
          <w:sz w:val="24"/>
          <w:szCs w:val="24"/>
          <w:highlight w:val="none"/>
        </w:rPr>
        <w:t>9. 试验与检验</w:t>
      </w:r>
      <w:bookmarkEnd w:id="191"/>
      <w:bookmarkEnd w:id="192"/>
    </w:p>
    <w:p w14:paraId="2F1DFC3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9.1试验设备与试验人员</w:t>
      </w:r>
    </w:p>
    <w:p w14:paraId="5B44285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9.1.2 试验设备</w:t>
      </w:r>
    </w:p>
    <w:p w14:paraId="56A986E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施工现场需要配置的试验场所：</w:t>
      </w:r>
      <w:r>
        <w:rPr>
          <w:rFonts w:hint="eastAsia" w:ascii="宋体" w:hAnsi="宋体" w:eastAsia="宋体" w:cs="宋体"/>
          <w:sz w:val="24"/>
          <w:szCs w:val="24"/>
          <w:highlight w:val="none"/>
          <w:u w:val="single"/>
        </w:rPr>
        <w:t>按有关规定执行</w:t>
      </w:r>
      <w:r>
        <w:rPr>
          <w:rFonts w:hint="eastAsia" w:ascii="宋体" w:hAnsi="宋体" w:eastAsia="宋体" w:cs="宋体"/>
          <w:sz w:val="24"/>
          <w:szCs w:val="24"/>
          <w:highlight w:val="none"/>
        </w:rPr>
        <w:t xml:space="preserve">。 </w:t>
      </w:r>
    </w:p>
    <w:p w14:paraId="2F0A2E0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施工现场需要配备的试验设备：</w:t>
      </w:r>
      <w:r>
        <w:rPr>
          <w:rFonts w:hint="eastAsia" w:ascii="宋体" w:hAnsi="宋体" w:eastAsia="宋体" w:cs="宋体"/>
          <w:sz w:val="24"/>
          <w:szCs w:val="24"/>
          <w:highlight w:val="none"/>
          <w:u w:val="single"/>
        </w:rPr>
        <w:t>按有关规定执行</w:t>
      </w:r>
      <w:r>
        <w:rPr>
          <w:rFonts w:hint="eastAsia" w:ascii="宋体" w:hAnsi="宋体" w:eastAsia="宋体" w:cs="宋体"/>
          <w:sz w:val="24"/>
          <w:szCs w:val="24"/>
          <w:highlight w:val="none"/>
        </w:rPr>
        <w:t>。</w:t>
      </w:r>
    </w:p>
    <w:p w14:paraId="794914AB">
      <w:pPr>
        <w:pageBreakBefore w:val="0"/>
        <w:widowControl w:val="0"/>
        <w:kinsoku/>
        <w:wordWrap/>
        <w:overflowPunct/>
        <w:topLinePunct w:val="0"/>
        <w:bidi w:val="0"/>
        <w:spacing w:line="440" w:lineRule="exact"/>
        <w:ind w:firstLine="424" w:firstLineChars="177"/>
        <w:jc w:val="left"/>
        <w:textAlignment w:val="auto"/>
        <w:rPr>
          <w:rFonts w:ascii="宋体" w:hAnsi="宋体" w:eastAsia="宋体" w:cs="宋体"/>
          <w:sz w:val="24"/>
          <w:szCs w:val="24"/>
          <w:highlight w:val="none"/>
        </w:rPr>
      </w:pPr>
    </w:p>
    <w:p w14:paraId="173C430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3" w:name="_Toc3719"/>
      <w:bookmarkStart w:id="194" w:name="_Toc430079009"/>
      <w:r>
        <w:rPr>
          <w:rFonts w:hint="eastAsia" w:ascii="宋体" w:hAnsi="宋体" w:eastAsia="宋体" w:cs="宋体"/>
          <w:bCs/>
          <w:sz w:val="24"/>
          <w:szCs w:val="24"/>
          <w:highlight w:val="none"/>
        </w:rPr>
        <w:t>10. 变更</w:t>
      </w:r>
      <w:bookmarkEnd w:id="193"/>
      <w:bookmarkEnd w:id="194"/>
    </w:p>
    <w:p w14:paraId="6F02C04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10.1变更的范围</w:t>
      </w:r>
    </w:p>
    <w:p w14:paraId="53FC95D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关于变更的范围的约定：</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3A88FA1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 变更估价</w:t>
      </w:r>
    </w:p>
    <w:p w14:paraId="5C8F3D8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10.4.1.本工程价款的结算和支付均以人民币为单位，合同价款由发包人、承包人依据中标通知书中的中标价格在协议书内约定。</w:t>
      </w:r>
    </w:p>
    <w:p w14:paraId="23A14C7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10.4.2.本工程的投标报价采用综合清单单价的方式进行报价，承包人应充分考虑施工期间各类可调材的市场价格变化和可能的国家政策性调整，确定风险系数，对工程图纸及工程量清单包含的所有内容的施工进行综合清单单价报价。结算时按经发包人、承包人、监理单位三方确认的实际发生的工程量或竣工图纸进行结算。</w:t>
      </w:r>
    </w:p>
    <w:p w14:paraId="6EC0413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10.4.3.在进行工程竣工结算时，以下情况均作为结算的依据：</w:t>
      </w:r>
    </w:p>
    <w:p w14:paraId="15F9689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（1）后继法律法规变化；</w:t>
      </w:r>
    </w:p>
    <w:p w14:paraId="50EAB97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（2）项目特征描述不符；</w:t>
      </w:r>
    </w:p>
    <w:p w14:paraId="17D4C7D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（3）工程量清单缺项漏项；</w:t>
      </w:r>
    </w:p>
    <w:p w14:paraId="7EBC4A6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（4）工程变更；</w:t>
      </w:r>
    </w:p>
    <w:p w14:paraId="76D738D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（5）工程量偏差；</w:t>
      </w:r>
    </w:p>
    <w:p w14:paraId="5E02AF3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（6）索赔；</w:t>
      </w:r>
    </w:p>
    <w:p w14:paraId="43CD88F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（7）现场签证事件；</w:t>
      </w:r>
    </w:p>
    <w:p w14:paraId="1B5724B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（8）计日工；</w:t>
      </w:r>
    </w:p>
    <w:p w14:paraId="02B1631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（9）不可抗力；</w:t>
      </w:r>
    </w:p>
    <w:p w14:paraId="63B2A0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（10）承包人延期罚款；</w:t>
      </w:r>
    </w:p>
    <w:p w14:paraId="76A95D2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（11）合同双方当事人约定的其他调整事件。</w:t>
      </w:r>
    </w:p>
    <w:p w14:paraId="69EF855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10.4.4.如本工程发生10.4.3款时，工程增减部分按如下办法进行结算：</w:t>
      </w:r>
    </w:p>
    <w:p w14:paraId="43D8A97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10.4.4.1承包人的投标文件中有相关清单项目：</w:t>
      </w:r>
    </w:p>
    <w:p w14:paraId="23A5426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10.4.4.1.1实际完成工程量对比备案预算工程量增加在10%内（含10%）的，按承包人的投标时的综合单价结算；</w:t>
      </w:r>
    </w:p>
    <w:p w14:paraId="496278A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10.4.4.1.2实际完成工程量对比备案预算工程量增加10%外的，其增加超过10%以外的部分工程量计算如下：</w:t>
      </w:r>
    </w:p>
    <w:p w14:paraId="41E25D6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10.4.4.1.2.1如果承包人的投标文件中的综合单价比招标备案的预算参考综合单价乘以结算系数后的价格低的，则按承包人投标文件中的相应的清单项目的综合单价进行结算；</w:t>
      </w:r>
    </w:p>
    <w:p w14:paraId="3A4E62F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10.4.4.1.2.2如果承包人的投标文件中的综合单价比招标备案的预算参考综合单价乘以结算系数后的价格高的，则按招标预算备案的综合单价乘以结算系数进行结算。</w:t>
      </w:r>
    </w:p>
    <w:p w14:paraId="0CEDD8D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10.4.4.1.3实际完成工程量对比备案预算工程量减少的，剩余部分的工程量的单价按承包人的投标时的综合单价结算；</w:t>
      </w:r>
    </w:p>
    <w:p w14:paraId="133CA5D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10.4.4.2已标价工程量清单中没有适用但有类似于变更工程项目的，可在合理范围内参照类似项目的单价计算，最终以</w:t>
      </w:r>
      <w:r>
        <w:rPr>
          <w:rFonts w:hint="eastAsia" w:ascii="宋体" w:hAnsi="宋体" w:eastAsia="宋体" w:cs="宋体"/>
          <w:sz w:val="24"/>
          <w:szCs w:val="24"/>
          <w:highlight w:val="none"/>
          <w:lang w:eastAsia="zh-CN"/>
        </w:rPr>
        <w:t>第三方中介审核为准</w:t>
      </w:r>
      <w:r>
        <w:rPr>
          <w:rFonts w:hint="eastAsia" w:ascii="宋体" w:hAnsi="宋体" w:eastAsia="宋体" w:cs="宋体"/>
          <w:sz w:val="24"/>
          <w:szCs w:val="24"/>
          <w:highlight w:val="none"/>
        </w:rPr>
        <w:t>；</w:t>
      </w:r>
    </w:p>
    <w:p w14:paraId="17C873C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10.4.4.3已标价工程量清单中没有适用也没有类似于变更工程项目的，以实际完成的工程量执行《建设工程工程量清单计价规范》GB50500-2013、2018年广东省建设工程计价依据及配套文件进行结算；材料价按施工期间的《佛山市工程造价信息》发布价计算，没有发布价的按市场价计算；特殊材料按经发包人、承包人、监理三方签证，最终以</w:t>
      </w:r>
      <w:r>
        <w:rPr>
          <w:rFonts w:hint="eastAsia" w:ascii="宋体" w:hAnsi="宋体" w:eastAsia="宋体" w:cs="宋体"/>
          <w:sz w:val="24"/>
          <w:szCs w:val="24"/>
          <w:highlight w:val="none"/>
          <w:lang w:eastAsia="zh-CN"/>
        </w:rPr>
        <w:t>第三方中介审核为准</w:t>
      </w:r>
      <w:r>
        <w:rPr>
          <w:rFonts w:hint="eastAsia" w:ascii="宋体" w:hAnsi="宋体" w:eastAsia="宋体" w:cs="宋体"/>
          <w:sz w:val="24"/>
          <w:szCs w:val="24"/>
          <w:highlight w:val="none"/>
        </w:rPr>
        <w:t>；增值税销项税额等的计费程序按建设行政主管部门有关文件规定(相关的费率参考招标备案预算相关费率计算)，按以上原则计算出该项目的工程造价后，并乘以结算系数作为最终的结算价。（注：结算系数=中标总价÷预算总价）</w:t>
      </w:r>
    </w:p>
    <w:p w14:paraId="1A78CBB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10.4.5.工程结算时，若承包人投标报价时的计费费率比建设行政主管部门有关文件规定的计费费率低的，按承包人投标报价时的计费费率结算不得调整（包括增加或减少的工程量）。</w:t>
      </w:r>
    </w:p>
    <w:p w14:paraId="4F57392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10.4.6.如因设计变更或工程量增大导致发生的措施项目费用时，须经发包人、承包人、监理单位三方签证确认，按签证金额或工程量进行增减计算(增减工程计算原则按10.4.4款要求)。不是因设计变更或工程量增大而导致发生的措施项目费用（或在投标报价时未对措施项目进行报价的），视为已包含在投标措施项目费用报价中，工程不予签证。</w:t>
      </w:r>
    </w:p>
    <w:p w14:paraId="2D4BD2A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10.4.7.增值税销项税额等相关费用若因行政建设主管部门有关文件规定的计费费率有变化的，按相关规定进行调整。</w:t>
      </w:r>
    </w:p>
    <w:p w14:paraId="2F3F0C5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10.4.8.工程量清单中有关建筑垃圾、材料运输的子目的综合单价不因运输方式及运距的调整而变更。</w:t>
      </w:r>
    </w:p>
    <w:p w14:paraId="675F81B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10.4.9.本工程清单范围的工程材料在工程施工期内不调整材料价格差，承包人需要根据市场情况组织好备料，防范建筑材料涨价的风险。</w:t>
      </w:r>
    </w:p>
    <w:p w14:paraId="2E47E25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10.4.10.任何因赶工而造成的费用增加已包含在本工程合同价中，结算时不另外增加费用。</w:t>
      </w:r>
    </w:p>
    <w:p w14:paraId="7AE43C7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10.4.11.其他未尽事项除以上约定外，参考《建设工程工程量清单计价规范》GB50500-2013、相对应的广东省专业工程的计价办法及配套文件进行结算；最终以</w:t>
      </w:r>
      <w:r>
        <w:rPr>
          <w:rFonts w:hint="eastAsia" w:ascii="宋体" w:hAnsi="宋体" w:eastAsia="宋体" w:cs="宋体"/>
          <w:sz w:val="24"/>
          <w:szCs w:val="24"/>
          <w:highlight w:val="none"/>
          <w:lang w:eastAsia="zh-CN"/>
        </w:rPr>
        <w:t>第三方中介审核为准</w:t>
      </w:r>
      <w:r>
        <w:rPr>
          <w:rFonts w:hint="eastAsia" w:ascii="宋体" w:hAnsi="宋体" w:eastAsia="宋体" w:cs="宋体"/>
          <w:sz w:val="24"/>
          <w:szCs w:val="24"/>
          <w:highlight w:val="none"/>
        </w:rPr>
        <w:t>。</w:t>
      </w:r>
    </w:p>
    <w:p w14:paraId="0BFE5C0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10.4.12.本工程竣工验收后，工程结算由财政办公室审核确认后，方可作为结算的依据。</w:t>
      </w:r>
    </w:p>
    <w:p w14:paraId="116BBB5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10.5  承包人的合理化建议</w:t>
      </w:r>
    </w:p>
    <w:p w14:paraId="28B7A43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发包人审查承包人合理化建议的期限：</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412935B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发包人审批承包人合理化建议的期限：</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366C28E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承包人提出的合理化建议降低了合同价格或者提高了工程经济效益的奖励的方法和金额为：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11CCA4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10.7 暂估价</w:t>
      </w:r>
    </w:p>
    <w:p w14:paraId="56D03D7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暂估价材料和工程设备的明细：</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2975A8F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10.8 暂列金额</w:t>
      </w:r>
    </w:p>
    <w:p w14:paraId="6DA9FAF5">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kern w:val="0"/>
          <w:sz w:val="24"/>
          <w:szCs w:val="24"/>
          <w:highlight w:val="none"/>
        </w:rPr>
        <w:t>合同当事人关于暂列金额使用的约定：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53DB4A4">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p>
    <w:p w14:paraId="076249BB">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5" w:name="_Toc430079010"/>
      <w:bookmarkStart w:id="196" w:name="_Toc7047"/>
      <w:r>
        <w:rPr>
          <w:rFonts w:hint="eastAsia" w:ascii="宋体" w:hAnsi="宋体" w:eastAsia="宋体" w:cs="宋体"/>
          <w:bCs/>
          <w:sz w:val="24"/>
          <w:szCs w:val="24"/>
          <w:highlight w:val="none"/>
        </w:rPr>
        <w:t>11. 价格调整</w:t>
      </w:r>
      <w:bookmarkEnd w:id="195"/>
      <w:bookmarkEnd w:id="196"/>
    </w:p>
    <w:p w14:paraId="2366A60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 市场价格波动引起的调整</w:t>
      </w:r>
    </w:p>
    <w:p w14:paraId="187898F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市场价格波动是否调整合同价格的约定：</w:t>
      </w:r>
      <w:r>
        <w:rPr>
          <w:rFonts w:hint="eastAsia" w:ascii="宋体" w:hAnsi="宋体" w:eastAsia="宋体" w:cs="宋体"/>
          <w:kern w:val="0"/>
          <w:sz w:val="24"/>
          <w:szCs w:val="24"/>
          <w:highlight w:val="none"/>
          <w:u w:val="single"/>
        </w:rPr>
        <w:t>不调整</w:t>
      </w:r>
      <w:r>
        <w:rPr>
          <w:rFonts w:hint="eastAsia" w:ascii="宋体" w:hAnsi="宋体" w:eastAsia="宋体" w:cs="宋体"/>
          <w:kern w:val="0"/>
          <w:sz w:val="24"/>
          <w:szCs w:val="24"/>
          <w:highlight w:val="none"/>
        </w:rPr>
        <w:t>。</w:t>
      </w:r>
    </w:p>
    <w:p w14:paraId="70C13F9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319762B5">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7" w:name="_Toc11570"/>
      <w:bookmarkStart w:id="198" w:name="_Toc430079011"/>
      <w:r>
        <w:rPr>
          <w:rFonts w:hint="eastAsia" w:ascii="宋体" w:hAnsi="宋体" w:eastAsia="宋体" w:cs="宋体"/>
          <w:bCs/>
          <w:sz w:val="24"/>
          <w:szCs w:val="24"/>
          <w:highlight w:val="none"/>
        </w:rPr>
        <w:t>12. 合同价格、计量与支付</w:t>
      </w:r>
      <w:bookmarkEnd w:id="197"/>
      <w:bookmarkEnd w:id="198"/>
    </w:p>
    <w:p w14:paraId="4FCB7A8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12.1 合同价格形式</w:t>
      </w:r>
    </w:p>
    <w:p w14:paraId="4E6FE468">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1、单价合同。</w:t>
      </w:r>
    </w:p>
    <w:p w14:paraId="7DC96D2A">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综合单价包含的风险范围：</w:t>
      </w:r>
      <w:r>
        <w:rPr>
          <w:rFonts w:hint="eastAsia" w:ascii="宋体" w:hAnsi="宋体" w:eastAsia="宋体" w:cs="宋体"/>
          <w:sz w:val="24"/>
          <w:szCs w:val="20"/>
          <w:highlight w:val="none"/>
          <w:u w:val="single"/>
        </w:rPr>
        <w:t>承包人已充分考虑施工期间各类可调材的市场价格变化和可能的国家政策性调整，确定风险系数。由于发包人或政府指令等原因造成工期延误（如因地质条件、管线迁移、征地拆迁、设计变更等非乙方原因），承包人的施工机具、人员等的二次进出场等费用（政策允许调整的除外）。承包人在开工前编制的施工组织设计方案，经监理和发包人审核后要求修改方案而发生的措施费用。施工期间内按照佛山市城区文明施工管理等要求增加的措施费用</w:t>
      </w:r>
      <w:r>
        <w:rPr>
          <w:rFonts w:hint="eastAsia" w:ascii="宋体" w:hAnsi="宋体" w:eastAsia="宋体" w:cs="宋体"/>
          <w:sz w:val="24"/>
          <w:szCs w:val="24"/>
          <w:highlight w:val="none"/>
        </w:rPr>
        <w:t>。</w:t>
      </w:r>
    </w:p>
    <w:p w14:paraId="281EFFEF">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DD95E7A">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483524B">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2、总价合同。</w:t>
      </w:r>
    </w:p>
    <w:p w14:paraId="65E87476">
      <w:pPr>
        <w:pageBreakBefore w:val="0"/>
        <w:widowControl w:val="0"/>
        <w:kinsoku/>
        <w:wordWrap/>
        <w:overflowPunct/>
        <w:topLinePunct w:val="0"/>
        <w:bidi w:val="0"/>
        <w:spacing w:line="440" w:lineRule="exact"/>
        <w:ind w:firstLine="480"/>
        <w:jc w:val="left"/>
        <w:textAlignment w:val="auto"/>
        <w:rPr>
          <w:rFonts w:ascii="宋体" w:hAnsi="宋体" w:eastAsia="宋体" w:cs="仿宋_GB2312"/>
          <w:sz w:val="24"/>
          <w:szCs w:val="24"/>
          <w:highlight w:val="none"/>
          <w:u w:val="single"/>
        </w:rPr>
      </w:pPr>
      <w:r>
        <w:rPr>
          <w:rFonts w:hint="eastAsia" w:ascii="宋体" w:hAnsi="宋体" w:eastAsia="宋体" w:cs="宋体"/>
          <w:sz w:val="24"/>
          <w:szCs w:val="24"/>
          <w:highlight w:val="none"/>
        </w:rPr>
        <w:t>总价包含的风险范围：</w:t>
      </w:r>
      <w:r>
        <w:rPr>
          <w:rFonts w:hint="eastAsia" w:ascii="宋体" w:hAnsi="宋体" w:eastAsia="宋体" w:cs="仿宋_GB2312"/>
          <w:sz w:val="24"/>
          <w:szCs w:val="24"/>
          <w:highlight w:val="none"/>
          <w:u w:val="single"/>
        </w:rPr>
        <w:t xml:space="preserve">    /         </w:t>
      </w:r>
      <w:r>
        <w:rPr>
          <w:rFonts w:hint="eastAsia" w:ascii="宋体" w:hAnsi="宋体" w:eastAsia="宋体" w:cs="仿宋_GB2312"/>
          <w:sz w:val="24"/>
          <w:szCs w:val="20"/>
          <w:highlight w:val="none"/>
        </w:rPr>
        <w:t>。</w:t>
      </w:r>
    </w:p>
    <w:p w14:paraId="2639A10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12.2 预付款</w:t>
      </w:r>
    </w:p>
    <w:p w14:paraId="3C90370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12.2.1 预付款的支付</w:t>
      </w:r>
    </w:p>
    <w:p w14:paraId="7F7E84D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预付款支付比例或金额：</w:t>
      </w:r>
      <w:r>
        <w:rPr>
          <w:rFonts w:hint="eastAsia" w:ascii="宋体" w:hAnsi="宋体" w:eastAsia="宋体" w:cs="宋体"/>
          <w:b/>
          <w:bCs/>
          <w:sz w:val="24"/>
          <w:szCs w:val="20"/>
          <w:highlight w:val="none"/>
          <w:u w:val="single"/>
        </w:rPr>
        <w:t>合同</w:t>
      </w:r>
      <w:r>
        <w:rPr>
          <w:rFonts w:hint="eastAsia" w:ascii="宋体" w:hAnsi="宋体" w:eastAsia="宋体" w:cs="宋体"/>
          <w:b/>
          <w:bCs/>
          <w:sz w:val="24"/>
          <w:szCs w:val="24"/>
          <w:highlight w:val="none"/>
          <w:u w:val="single"/>
        </w:rPr>
        <w:t>价的</w:t>
      </w:r>
      <w:r>
        <w:rPr>
          <w:rFonts w:hint="eastAsia" w:ascii="宋体" w:hAnsi="宋体" w:eastAsia="宋体" w:cs="宋体"/>
          <w:b/>
          <w:bCs/>
          <w:sz w:val="24"/>
          <w:szCs w:val="24"/>
          <w:highlight w:val="none"/>
          <w:u w:val="single"/>
          <w:lang w:val="en-US" w:eastAsia="zh-CN"/>
        </w:rPr>
        <w:t>2</w:t>
      </w:r>
      <w:r>
        <w:rPr>
          <w:rFonts w:hint="eastAsia" w:ascii="宋体" w:hAnsi="宋体" w:eastAsia="宋体" w:cs="宋体"/>
          <w:b/>
          <w:bCs/>
          <w:sz w:val="24"/>
          <w:szCs w:val="24"/>
          <w:highlight w:val="none"/>
          <w:u w:val="single"/>
        </w:rPr>
        <w:t>0%。</w:t>
      </w:r>
    </w:p>
    <w:p w14:paraId="601A03E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0"/>
          <w:highlight w:val="none"/>
        </w:rPr>
        <w:t>预付款支付期限：双方签订施工合同并且进场施工</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0"/>
          <w:highlight w:val="none"/>
        </w:rPr>
        <w:t xml:space="preserve"> 10 天内</w:t>
      </w:r>
      <w:r>
        <w:rPr>
          <w:rFonts w:hint="eastAsia" w:ascii="宋体" w:hAnsi="宋体" w:eastAsia="宋体" w:cs="宋体"/>
          <w:sz w:val="24"/>
          <w:szCs w:val="24"/>
          <w:highlight w:val="none"/>
        </w:rPr>
        <w:t>。</w:t>
      </w:r>
    </w:p>
    <w:p w14:paraId="159D643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 计量</w:t>
      </w:r>
    </w:p>
    <w:p w14:paraId="0099234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12.3.1 计量原则</w:t>
      </w:r>
    </w:p>
    <w:p w14:paraId="5B8DEE0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工程量计算规则：</w:t>
      </w:r>
      <w:r>
        <w:rPr>
          <w:rFonts w:hint="eastAsia" w:ascii="宋体" w:hAnsi="宋体" w:eastAsia="宋体" w:cs="宋体"/>
          <w:sz w:val="24"/>
          <w:szCs w:val="20"/>
          <w:highlight w:val="none"/>
          <w:u w:val="single"/>
        </w:rPr>
        <w:t>《建设工程工程量清单计价规范》（GB50500—2013）和2018年《广东省建设工程计价依据》。</w:t>
      </w:r>
    </w:p>
    <w:p w14:paraId="40D0B66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12.3.2 计量周期</w:t>
      </w:r>
    </w:p>
    <w:p w14:paraId="734BA74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关于计量周期的约定：</w:t>
      </w:r>
      <w:r>
        <w:rPr>
          <w:rFonts w:hint="eastAsia" w:ascii="宋体" w:hAnsi="宋体" w:eastAsia="宋体" w:cs="宋体"/>
          <w:sz w:val="24"/>
          <w:szCs w:val="20"/>
          <w:highlight w:val="none"/>
          <w:u w:val="single"/>
        </w:rPr>
        <w:t>按通用条款执行</w:t>
      </w:r>
      <w:r>
        <w:rPr>
          <w:rFonts w:hint="eastAsia" w:ascii="宋体" w:hAnsi="宋体" w:eastAsia="宋体" w:cs="宋体"/>
          <w:sz w:val="24"/>
          <w:szCs w:val="20"/>
          <w:highlight w:val="none"/>
        </w:rPr>
        <w:t>。</w:t>
      </w:r>
    </w:p>
    <w:p w14:paraId="4B71561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12.3.3 单价合同的计量</w:t>
      </w:r>
    </w:p>
    <w:p w14:paraId="7C26E79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u w:val="single"/>
        </w:rPr>
      </w:pPr>
      <w:r>
        <w:rPr>
          <w:rFonts w:hint="eastAsia" w:ascii="宋体" w:hAnsi="宋体" w:eastAsia="宋体" w:cs="宋体"/>
          <w:sz w:val="24"/>
          <w:szCs w:val="20"/>
          <w:highlight w:val="none"/>
        </w:rPr>
        <w:t>关于单价合同计量的约定：</w:t>
      </w:r>
      <w:r>
        <w:rPr>
          <w:rFonts w:hint="eastAsia" w:ascii="宋体" w:hAnsi="宋体" w:eastAsia="宋体" w:cs="宋体"/>
          <w:sz w:val="24"/>
          <w:szCs w:val="20"/>
          <w:highlight w:val="none"/>
          <w:u w:val="single"/>
        </w:rPr>
        <w:t>按月进度计量</w:t>
      </w:r>
      <w:r>
        <w:rPr>
          <w:rFonts w:hint="eastAsia" w:ascii="宋体" w:hAnsi="宋体" w:eastAsia="宋体" w:cs="宋体"/>
          <w:sz w:val="24"/>
          <w:szCs w:val="20"/>
          <w:highlight w:val="none"/>
        </w:rPr>
        <w:t>。</w:t>
      </w:r>
    </w:p>
    <w:p w14:paraId="262ACC6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12.3.4 总价合同的计量</w:t>
      </w:r>
    </w:p>
    <w:p w14:paraId="1983FBA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关于总价合同计量的约定：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2304F03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EFD565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 工程进度款支付</w:t>
      </w:r>
    </w:p>
    <w:p w14:paraId="1AA45E0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12.4.1 付款周期</w:t>
      </w:r>
    </w:p>
    <w:p w14:paraId="521B56A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rPr>
        <w:t>：</w:t>
      </w:r>
    </w:p>
    <w:p w14:paraId="09FFEF68">
      <w:pPr>
        <w:pageBreakBefore w:val="0"/>
        <w:widowControl w:val="0"/>
        <w:kinsoku/>
        <w:wordWrap/>
        <w:overflowPunct/>
        <w:topLinePunct w:val="0"/>
        <w:bidi w:val="0"/>
        <w:spacing w:line="440" w:lineRule="exact"/>
        <w:ind w:firstLine="480" w:firstLineChars="200"/>
        <w:jc w:val="left"/>
        <w:textAlignment w:val="auto"/>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rPr>
        <w:t>（1）进度款：</w:t>
      </w:r>
      <w:r>
        <w:rPr>
          <w:rFonts w:hint="eastAsia" w:ascii="宋体" w:hAnsi="宋体" w:eastAsia="宋体" w:cs="宋体"/>
          <w:sz w:val="24"/>
          <w:szCs w:val="24"/>
          <w:highlight w:val="none"/>
          <w:lang w:eastAsia="zh-CN"/>
        </w:rPr>
        <w:t>工程完成合同工程量50%时，付至合同价的50%</w:t>
      </w:r>
      <w:r>
        <w:rPr>
          <w:rFonts w:hint="eastAsia" w:ascii="宋体" w:hAnsi="宋体" w:eastAsia="宋体" w:cs="宋体"/>
          <w:sz w:val="24"/>
          <w:szCs w:val="24"/>
          <w:highlight w:val="none"/>
        </w:rPr>
        <w:t>；</w:t>
      </w:r>
    </w:p>
    <w:p w14:paraId="4393084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（2）结算款：</w:t>
      </w:r>
      <w:r>
        <w:rPr>
          <w:rFonts w:hint="eastAsia" w:ascii="宋体" w:hAnsi="宋体" w:eastAsia="宋体" w:cs="宋体"/>
          <w:sz w:val="24"/>
          <w:szCs w:val="24"/>
          <w:highlight w:val="none"/>
          <w:lang w:eastAsia="zh-CN"/>
        </w:rPr>
        <w:t>工程竣工验收合格并出具结算报告后付至工程结算价的97%</w:t>
      </w:r>
      <w:r>
        <w:rPr>
          <w:rFonts w:hint="eastAsia" w:ascii="宋体" w:hAnsi="宋体" w:eastAsia="宋体" w:cs="宋体"/>
          <w:sz w:val="24"/>
          <w:szCs w:val="24"/>
          <w:highlight w:val="none"/>
        </w:rPr>
        <w:t>；</w:t>
      </w:r>
    </w:p>
    <w:p w14:paraId="56F155F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0"/>
          <w:highlight w:val="none"/>
        </w:rPr>
        <w:t>（3）保修金：</w:t>
      </w:r>
      <w:r>
        <w:rPr>
          <w:rFonts w:hint="eastAsia" w:ascii="宋体" w:hAnsi="宋体" w:eastAsia="宋体" w:cs="宋体"/>
          <w:sz w:val="24"/>
          <w:szCs w:val="20"/>
          <w:highlight w:val="none"/>
          <w:lang w:eastAsia="zh-CN"/>
        </w:rPr>
        <w:t>余下3%作为质保金待质保期满后付清</w:t>
      </w:r>
      <w:r>
        <w:rPr>
          <w:rFonts w:hint="eastAsia" w:ascii="宋体" w:hAnsi="宋体" w:eastAsia="宋体" w:cs="宋体"/>
          <w:sz w:val="24"/>
          <w:szCs w:val="20"/>
          <w:highlight w:val="none"/>
        </w:rPr>
        <w:t>，待缺陷责任期终止</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0"/>
          <w:highlight w:val="none"/>
        </w:rPr>
        <w:t>20天内一次性付清（无息）。</w:t>
      </w:r>
      <w:r>
        <w:rPr>
          <w:rFonts w:hint="eastAsia" w:ascii="宋体" w:hAnsi="宋体" w:eastAsia="宋体" w:cs="宋体"/>
          <w:sz w:val="24"/>
          <w:szCs w:val="24"/>
          <w:highlight w:val="none"/>
        </w:rPr>
        <w:t>因质量问题而引发的费用，由发包人直接在剩下的3%结算总价金额中扣减，并向承包人出具扣减剩余额的单据，不足部分由承包人继续赔偿。</w:t>
      </w:r>
    </w:p>
    <w:p w14:paraId="23FD31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其它说明</w:t>
      </w:r>
      <w:r>
        <w:rPr>
          <w:rFonts w:hint="eastAsia" w:ascii="宋体" w:hAnsi="宋体" w:eastAsia="宋体" w:cs="宋体"/>
          <w:sz w:val="24"/>
          <w:szCs w:val="24"/>
          <w:highlight w:val="none"/>
        </w:rPr>
        <w:t>：1.</w:t>
      </w:r>
      <w:r>
        <w:rPr>
          <w:rFonts w:hint="eastAsia" w:ascii="宋体" w:hAnsi="宋体" w:eastAsia="宋体" w:cs="宋体"/>
          <w:sz w:val="24"/>
          <w:szCs w:val="20"/>
          <w:highlight w:val="none"/>
        </w:rPr>
        <w:t>工程款应专款专用，一旦发包人发现工程款被挪作他用，发包人有权采取适当的措施来保证其专款专用。</w:t>
      </w:r>
    </w:p>
    <w:p w14:paraId="731CB778">
      <w:pPr>
        <w:pageBreakBefore w:val="0"/>
        <w:widowControl w:val="0"/>
        <w:kinsoku/>
        <w:wordWrap/>
        <w:overflowPunct/>
        <w:topLinePunct w:val="0"/>
        <w:bidi w:val="0"/>
        <w:spacing w:line="440" w:lineRule="exact"/>
        <w:ind w:left="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承包人如为非佛山市内企业的，承包人应严格按税收政策规定，向工程所在地税务机关申报预缴增值税等各项税款，在收取工程款时，承包人需向发包人提供工程所在地税款缴纳凭证及发票，有效发票必须遵循属地管理的原则，否则发包人有权拒绝支付工程款。</w:t>
      </w:r>
    </w:p>
    <w:p w14:paraId="17A508B7">
      <w:pPr>
        <w:pageBreakBefore w:val="0"/>
        <w:widowControl w:val="0"/>
        <w:kinsoku/>
        <w:wordWrap/>
        <w:overflowPunct/>
        <w:topLinePunct w:val="0"/>
        <w:bidi w:val="0"/>
        <w:spacing w:line="440" w:lineRule="exact"/>
        <w:ind w:firstLine="480" w:firstLineChars="200"/>
        <w:jc w:val="left"/>
        <w:textAlignment w:val="auto"/>
        <w:rPr>
          <w:rFonts w:hint="eastAsia" w:ascii="宋体" w:hAnsi="宋体" w:eastAsia="宋体" w:cs="宋体"/>
          <w:sz w:val="24"/>
          <w:szCs w:val="24"/>
          <w:highlight w:val="none"/>
          <w:lang w:eastAsia="zh-CN"/>
        </w:rPr>
      </w:pPr>
    </w:p>
    <w:p w14:paraId="68FC3A6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12.4.2 进度付款申请单的编制</w:t>
      </w:r>
    </w:p>
    <w:p w14:paraId="422BDE0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关于进度付款申请单编制的约定</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按发包人要求执行</w:t>
      </w:r>
      <w:r>
        <w:rPr>
          <w:rFonts w:hint="eastAsia" w:ascii="宋体" w:hAnsi="宋体" w:eastAsia="宋体" w:cs="宋体"/>
          <w:sz w:val="24"/>
          <w:szCs w:val="20"/>
          <w:highlight w:val="none"/>
        </w:rPr>
        <w:t>。</w:t>
      </w:r>
    </w:p>
    <w:p w14:paraId="2C052CC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12.4.3 进度付款申请单的提交</w:t>
      </w:r>
    </w:p>
    <w:p w14:paraId="64873BC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sz w:val="24"/>
          <w:szCs w:val="24"/>
          <w:highlight w:val="none"/>
          <w:u w:val="single"/>
        </w:rPr>
        <w:t>按月进度向监理人及发包人递交</w:t>
      </w:r>
      <w:r>
        <w:rPr>
          <w:rFonts w:hint="eastAsia" w:ascii="宋体" w:hAnsi="宋体" w:eastAsia="宋体" w:cs="宋体"/>
          <w:sz w:val="24"/>
          <w:szCs w:val="24"/>
          <w:highlight w:val="none"/>
        </w:rPr>
        <w:t>。</w:t>
      </w:r>
    </w:p>
    <w:p w14:paraId="5D65476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F207E1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49D194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12.4.4 进度款审核和支付</w:t>
      </w:r>
    </w:p>
    <w:p w14:paraId="470F33B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u w:val="single"/>
        </w:rPr>
      </w:pPr>
      <w:r>
        <w:rPr>
          <w:rFonts w:hint="eastAsia" w:ascii="宋体" w:hAnsi="宋体" w:eastAsia="宋体" w:cs="宋体"/>
          <w:sz w:val="24"/>
          <w:szCs w:val="20"/>
          <w:highlight w:val="none"/>
        </w:rPr>
        <w:t>（1）监理人审查并报送发包人的期限：</w:t>
      </w:r>
      <w:r>
        <w:rPr>
          <w:rFonts w:hint="eastAsia" w:ascii="宋体" w:hAnsi="宋体" w:eastAsia="宋体" w:cs="宋体"/>
          <w:sz w:val="24"/>
          <w:szCs w:val="20"/>
          <w:highlight w:val="none"/>
          <w:u w:val="single"/>
        </w:rPr>
        <w:t>按通用条款执行</w:t>
      </w:r>
      <w:r>
        <w:rPr>
          <w:rFonts w:hint="eastAsia" w:ascii="宋体" w:hAnsi="宋体" w:eastAsia="宋体" w:cs="宋体"/>
          <w:sz w:val="24"/>
          <w:szCs w:val="20"/>
          <w:highlight w:val="none"/>
        </w:rPr>
        <w:t>。</w:t>
      </w:r>
    </w:p>
    <w:p w14:paraId="2F14CB3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发包人完成审批并签发进度款支付证书的期限：</w:t>
      </w:r>
      <w:r>
        <w:rPr>
          <w:rFonts w:hint="eastAsia" w:ascii="宋体" w:hAnsi="宋体" w:eastAsia="宋体" w:cs="宋体"/>
          <w:sz w:val="24"/>
          <w:szCs w:val="20"/>
          <w:highlight w:val="none"/>
          <w:u w:val="single"/>
        </w:rPr>
        <w:t>发包人在收到审核的</w:t>
      </w:r>
      <w:r>
        <w:rPr>
          <w:rFonts w:hint="eastAsia" w:ascii="宋体" w:hAnsi="宋体" w:eastAsia="宋体" w:cs="宋体"/>
          <w:sz w:val="24"/>
          <w:szCs w:val="24"/>
          <w:highlight w:val="none"/>
          <w:u w:val="single"/>
        </w:rPr>
        <w:t>预算</w:t>
      </w:r>
      <w:r>
        <w:rPr>
          <w:rFonts w:hint="eastAsia" w:ascii="宋体" w:hAnsi="宋体" w:eastAsia="宋体" w:cs="宋体"/>
          <w:sz w:val="24"/>
          <w:szCs w:val="20"/>
          <w:highlight w:val="none"/>
          <w:u w:val="single"/>
        </w:rPr>
        <w:t>书后</w:t>
      </w:r>
      <w:r>
        <w:rPr>
          <w:rFonts w:hint="eastAsia" w:ascii="宋体" w:hAnsi="宋体" w:eastAsia="宋体" w:cs="宋体"/>
          <w:sz w:val="24"/>
          <w:szCs w:val="24"/>
          <w:highlight w:val="none"/>
          <w:u w:val="single"/>
        </w:rPr>
        <w:t>14天内</w:t>
      </w:r>
      <w:r>
        <w:rPr>
          <w:rFonts w:hint="eastAsia" w:ascii="宋体" w:hAnsi="宋体" w:eastAsia="宋体" w:cs="宋体"/>
          <w:sz w:val="24"/>
          <w:szCs w:val="20"/>
          <w:highlight w:val="none"/>
        </w:rPr>
        <w:t>。</w:t>
      </w:r>
    </w:p>
    <w:p w14:paraId="176FC0D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（2）发包人支付进度款的期限：</w:t>
      </w:r>
      <w:r>
        <w:rPr>
          <w:rFonts w:hint="eastAsia" w:ascii="宋体" w:hAnsi="宋体" w:eastAsia="宋体" w:cs="宋体"/>
          <w:sz w:val="24"/>
          <w:szCs w:val="24"/>
          <w:highlight w:val="none"/>
          <w:u w:val="single"/>
        </w:rPr>
        <w:t>发包人在进度款支付证书或临时进度款支付证书后28天内</w:t>
      </w:r>
      <w:r>
        <w:rPr>
          <w:rFonts w:hint="eastAsia" w:ascii="宋体" w:hAnsi="宋体" w:eastAsia="宋体" w:cs="宋体"/>
          <w:sz w:val="24"/>
          <w:szCs w:val="20"/>
          <w:highlight w:val="none"/>
        </w:rPr>
        <w:t>。</w:t>
      </w:r>
    </w:p>
    <w:p w14:paraId="0E98B9A3">
      <w:pPr>
        <w:pageBreakBefore w:val="0"/>
        <w:widowControl w:val="0"/>
        <w:kinsoku/>
        <w:wordWrap/>
        <w:overflowPunct/>
        <w:topLinePunct w:val="0"/>
        <w:bidi w:val="0"/>
        <w:spacing w:line="440" w:lineRule="exact"/>
        <w:ind w:firstLine="600" w:firstLineChars="25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发包人逾期支付进度款的违约金的计算方式：</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0DCE317">
      <w:pPr>
        <w:pageBreakBefore w:val="0"/>
        <w:widowControl w:val="0"/>
        <w:kinsoku/>
        <w:wordWrap/>
        <w:overflowPunct/>
        <w:topLinePunct w:val="0"/>
        <w:bidi w:val="0"/>
        <w:spacing w:line="440" w:lineRule="exact"/>
        <w:ind w:firstLine="600" w:firstLineChars="25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12.4.6 支付分解表的编制</w:t>
      </w:r>
    </w:p>
    <w:p w14:paraId="6AD07C6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F93FAF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3、单价合同的总价项目支付分解表的编制与审批：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4FFFE9D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22F710F8">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9" w:name="_Toc8223"/>
      <w:bookmarkStart w:id="200" w:name="_Toc430079012"/>
      <w:r>
        <w:rPr>
          <w:rFonts w:hint="eastAsia" w:ascii="宋体" w:hAnsi="宋体" w:eastAsia="宋体" w:cs="宋体"/>
          <w:bCs/>
          <w:sz w:val="24"/>
          <w:szCs w:val="24"/>
          <w:highlight w:val="none"/>
        </w:rPr>
        <w:t>13. 验收和工程试车</w:t>
      </w:r>
      <w:bookmarkEnd w:id="199"/>
      <w:bookmarkEnd w:id="200"/>
    </w:p>
    <w:p w14:paraId="06FC36E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13.1 分部分项工程验收</w:t>
      </w:r>
    </w:p>
    <w:p w14:paraId="213F55B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13.1.2发包人不能按时进行验收时，应提前</w:t>
      </w:r>
      <w:r>
        <w:rPr>
          <w:rFonts w:hint="eastAsia" w:ascii="宋体" w:hAnsi="宋体" w:eastAsia="宋体" w:cs="宋体"/>
          <w:sz w:val="24"/>
          <w:szCs w:val="24"/>
          <w:highlight w:val="none"/>
          <w:u w:val="single"/>
        </w:rPr>
        <w:t xml:space="preserve">24 </w:t>
      </w:r>
      <w:r>
        <w:rPr>
          <w:rFonts w:hint="eastAsia" w:ascii="宋体" w:hAnsi="宋体" w:eastAsia="宋体" w:cs="宋体"/>
          <w:sz w:val="24"/>
          <w:szCs w:val="24"/>
          <w:highlight w:val="none"/>
        </w:rPr>
        <w:t>小时提交书面延期要求。</w:t>
      </w:r>
    </w:p>
    <w:p w14:paraId="18908EB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b/>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48</w:t>
      </w:r>
      <w:r>
        <w:rPr>
          <w:rFonts w:hint="eastAsia" w:ascii="宋体" w:hAnsi="宋体" w:eastAsia="宋体" w:cs="宋体"/>
          <w:sz w:val="24"/>
          <w:szCs w:val="24"/>
          <w:highlight w:val="none"/>
        </w:rPr>
        <w:t>小时。</w:t>
      </w:r>
    </w:p>
    <w:p w14:paraId="774F4E8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13.2 竣工验收</w:t>
      </w:r>
    </w:p>
    <w:p w14:paraId="1C263A6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13.2.2竣工验收程序</w:t>
      </w:r>
    </w:p>
    <w:p w14:paraId="1E71427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关于竣工验收程序的约定：</w:t>
      </w:r>
      <w:r>
        <w:rPr>
          <w:rFonts w:hint="eastAsia" w:ascii="宋体" w:hAnsi="宋体" w:eastAsia="宋体" w:cs="宋体"/>
          <w:sz w:val="24"/>
          <w:szCs w:val="24"/>
          <w:highlight w:val="none"/>
          <w:u w:val="single"/>
        </w:rPr>
        <w:t>按佛山市南海区有关竣工验收规定和要求</w:t>
      </w:r>
      <w:r>
        <w:rPr>
          <w:rFonts w:hint="eastAsia" w:ascii="宋体" w:hAnsi="宋体" w:eastAsia="宋体" w:cs="宋体"/>
          <w:sz w:val="24"/>
          <w:szCs w:val="24"/>
          <w:highlight w:val="none"/>
        </w:rPr>
        <w:t>。</w:t>
      </w:r>
    </w:p>
    <w:p w14:paraId="5B59AA0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发包人不按照本项约定组织竣工验收、颁发工程接收证书的违约金的计算方法：</w:t>
      </w:r>
      <w:r>
        <w:rPr>
          <w:rFonts w:hint="eastAsia" w:ascii="宋体" w:hAnsi="宋体" w:eastAsia="宋体" w:cs="宋体"/>
          <w:kern w:val="0"/>
          <w:sz w:val="24"/>
          <w:szCs w:val="24"/>
          <w:highlight w:val="none"/>
          <w:u w:val="single"/>
        </w:rPr>
        <w:t>/ 。</w:t>
      </w:r>
    </w:p>
    <w:p w14:paraId="78E65D1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13.2.5移交、接收全部与部分工程</w:t>
      </w:r>
    </w:p>
    <w:p w14:paraId="34A8253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承包人向发包人移交工程的期限：</w:t>
      </w:r>
      <w:r>
        <w:rPr>
          <w:rFonts w:hint="eastAsia" w:ascii="宋体" w:hAnsi="宋体" w:eastAsia="宋体" w:cs="宋体"/>
          <w:sz w:val="24"/>
          <w:szCs w:val="24"/>
          <w:highlight w:val="none"/>
          <w:u w:val="single"/>
        </w:rPr>
        <w:t>按通用条款</w:t>
      </w:r>
      <w:r>
        <w:rPr>
          <w:rFonts w:hint="eastAsia" w:ascii="宋体" w:hAnsi="宋体" w:eastAsia="宋体" w:cs="宋体"/>
          <w:sz w:val="24"/>
          <w:szCs w:val="24"/>
          <w:highlight w:val="none"/>
        </w:rPr>
        <w:t>。</w:t>
      </w:r>
    </w:p>
    <w:p w14:paraId="4BE48E3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kern w:val="0"/>
          <w:sz w:val="24"/>
          <w:szCs w:val="24"/>
          <w:highlight w:val="none"/>
        </w:rPr>
        <w:t>发包人未按本合同约定接收全部或部分工程的，违约金的计算方法为：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C976A1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承包人未按时移交工程的，违约金的计算方法为：</w:t>
      </w:r>
      <w:r>
        <w:rPr>
          <w:rFonts w:hint="eastAsia" w:ascii="宋体" w:hAnsi="宋体" w:eastAsia="宋体" w:cs="宋体"/>
          <w:sz w:val="24"/>
          <w:szCs w:val="24"/>
          <w:highlight w:val="none"/>
          <w:u w:val="single"/>
        </w:rPr>
        <w:t>按本合同条款7.5款规定承担违约责任</w:t>
      </w:r>
      <w:r>
        <w:rPr>
          <w:rFonts w:hint="eastAsia" w:ascii="宋体" w:hAnsi="宋体" w:eastAsia="宋体" w:cs="宋体"/>
          <w:sz w:val="24"/>
          <w:szCs w:val="24"/>
          <w:highlight w:val="none"/>
        </w:rPr>
        <w:t>。</w:t>
      </w:r>
    </w:p>
    <w:p w14:paraId="754D8B6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13.6 竣工退场</w:t>
      </w:r>
    </w:p>
    <w:p w14:paraId="0CFCC0C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13.6.1 竣工退场</w:t>
      </w:r>
    </w:p>
    <w:p w14:paraId="03A402F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承包人完成竣工退场的期限：</w:t>
      </w:r>
      <w:r>
        <w:rPr>
          <w:rFonts w:hint="eastAsia" w:ascii="宋体" w:hAnsi="宋体" w:eastAsia="宋体" w:cs="宋体"/>
          <w:sz w:val="24"/>
          <w:szCs w:val="24"/>
          <w:highlight w:val="none"/>
          <w:u w:val="single"/>
        </w:rPr>
        <w:t>工程接收证书颁发</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的10 天内，除经发包人同意需在缺陷责任期内继续工作的人员、使用的施工设备和临时设施外，其余的人员、施工设备和临时设备均应撤离施工场地或拆除</w:t>
      </w:r>
      <w:r>
        <w:rPr>
          <w:rFonts w:hint="eastAsia" w:ascii="宋体" w:hAnsi="宋体" w:eastAsia="宋体" w:cs="宋体"/>
          <w:kern w:val="0"/>
          <w:sz w:val="24"/>
          <w:szCs w:val="24"/>
          <w:highlight w:val="none"/>
          <w:u w:val="single"/>
        </w:rPr>
        <w:t>。缺陷责任期满时，承包人的人员和施工设备应全部撤离施工场地</w:t>
      </w:r>
      <w:r>
        <w:rPr>
          <w:rFonts w:hint="eastAsia" w:ascii="宋体" w:hAnsi="宋体" w:eastAsia="宋体" w:cs="宋体"/>
          <w:kern w:val="0"/>
          <w:sz w:val="24"/>
          <w:szCs w:val="24"/>
          <w:highlight w:val="none"/>
        </w:rPr>
        <w:t>。</w:t>
      </w:r>
    </w:p>
    <w:p w14:paraId="11B1DC8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p>
    <w:p w14:paraId="332E2CFA">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1" w:name="_Toc430079013"/>
      <w:bookmarkStart w:id="202" w:name="_Toc6593"/>
      <w:r>
        <w:rPr>
          <w:rFonts w:hint="eastAsia" w:ascii="宋体" w:hAnsi="宋体" w:eastAsia="宋体" w:cs="宋体"/>
          <w:bCs/>
          <w:sz w:val="24"/>
          <w:szCs w:val="24"/>
          <w:highlight w:val="none"/>
        </w:rPr>
        <w:t>14. 竣工结算</w:t>
      </w:r>
      <w:bookmarkEnd w:id="201"/>
      <w:bookmarkEnd w:id="202"/>
    </w:p>
    <w:p w14:paraId="24D88E3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14.1 竣工付款申请</w:t>
      </w:r>
    </w:p>
    <w:p w14:paraId="030E3D9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承包人提交竣工付款申请单的期限：</w:t>
      </w:r>
      <w:r>
        <w:rPr>
          <w:rFonts w:hint="eastAsia" w:ascii="宋体" w:hAnsi="宋体" w:eastAsia="宋体" w:cs="宋体"/>
          <w:bCs/>
          <w:sz w:val="24"/>
          <w:szCs w:val="24"/>
          <w:highlight w:val="none"/>
          <w:u w:val="single"/>
        </w:rPr>
        <w:t>工程竣工验收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30天内承包人递交结算书给发包人</w:t>
      </w:r>
      <w:r>
        <w:rPr>
          <w:rFonts w:hint="eastAsia" w:ascii="宋体" w:hAnsi="宋体" w:eastAsia="宋体" w:cs="宋体"/>
          <w:sz w:val="24"/>
          <w:szCs w:val="24"/>
          <w:highlight w:val="none"/>
        </w:rPr>
        <w:t>。</w:t>
      </w:r>
    </w:p>
    <w:p w14:paraId="5701407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竣工付款申请单应包括的内容：</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0A38210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14.2 竣工结算审核</w:t>
      </w:r>
    </w:p>
    <w:p w14:paraId="3DB1CBF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发包人审批竣工付款申请单的期限：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4DD2C5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发包人完成竣工付款的期限：</w:t>
      </w:r>
      <w:r>
        <w:rPr>
          <w:rFonts w:hint="eastAsia" w:ascii="宋体" w:hAnsi="宋体" w:eastAsia="宋体" w:cs="宋体"/>
          <w:sz w:val="24"/>
          <w:szCs w:val="24"/>
          <w:highlight w:val="none"/>
          <w:u w:val="single"/>
        </w:rPr>
        <w:t>结算终审</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30天内支付</w:t>
      </w:r>
      <w:r>
        <w:rPr>
          <w:rFonts w:hint="eastAsia" w:ascii="宋体" w:hAnsi="宋体" w:eastAsia="宋体" w:cs="宋体"/>
          <w:sz w:val="24"/>
          <w:szCs w:val="24"/>
          <w:highlight w:val="none"/>
        </w:rPr>
        <w:t>。</w:t>
      </w:r>
    </w:p>
    <w:p w14:paraId="3D28616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关于竣工付款证书异议部分复核的方式和程序：</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7B1C591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14.4 最终结清</w:t>
      </w:r>
    </w:p>
    <w:p w14:paraId="5DD45D7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14.4.1 最终结清申请单</w:t>
      </w:r>
    </w:p>
    <w:p w14:paraId="6B7C64D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承包人提交最终结清申请单的份数：</w:t>
      </w:r>
      <w:r>
        <w:rPr>
          <w:rFonts w:hint="eastAsia" w:ascii="宋体" w:hAnsi="宋体" w:eastAsia="宋体" w:cs="宋体"/>
          <w:sz w:val="24"/>
          <w:szCs w:val="24"/>
          <w:highlight w:val="none"/>
          <w:u w:val="single"/>
        </w:rPr>
        <w:t>按当地档案部门规定</w:t>
      </w:r>
      <w:r>
        <w:rPr>
          <w:rFonts w:hint="eastAsia" w:ascii="宋体" w:hAnsi="宋体" w:eastAsia="宋体" w:cs="宋体"/>
          <w:sz w:val="24"/>
          <w:szCs w:val="24"/>
          <w:highlight w:val="none"/>
        </w:rPr>
        <w:t>。</w:t>
      </w:r>
    </w:p>
    <w:p w14:paraId="7E0618DE">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承包人提交最终结算申请单的期限：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 xml:space="preserve">。 </w:t>
      </w:r>
    </w:p>
    <w:p w14:paraId="44F145F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14.4.2 最终结清证书和支付</w:t>
      </w:r>
    </w:p>
    <w:p w14:paraId="5229183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发包人完成最终结清申请单的审批并颁发最终结清证书的期限：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02F8FA3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（2）发包人完成支付的期限：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2A7F060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35473023">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3" w:name="_Toc430079014"/>
      <w:bookmarkStart w:id="204" w:name="_Toc5900"/>
      <w:r>
        <w:rPr>
          <w:rFonts w:hint="eastAsia" w:ascii="宋体" w:hAnsi="宋体" w:eastAsia="宋体" w:cs="宋体"/>
          <w:bCs/>
          <w:sz w:val="24"/>
          <w:szCs w:val="24"/>
          <w:highlight w:val="none"/>
        </w:rPr>
        <w:t>15. 缺陷责任期与保修</w:t>
      </w:r>
      <w:bookmarkEnd w:id="203"/>
      <w:bookmarkEnd w:id="204"/>
    </w:p>
    <w:p w14:paraId="76A1613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15.2缺陷责任期</w:t>
      </w:r>
    </w:p>
    <w:p w14:paraId="0D2FCD1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缺陷责任期的具体期限：</w:t>
      </w:r>
      <w:r>
        <w:rPr>
          <w:rFonts w:hint="eastAsia" w:ascii="宋体" w:hAnsi="宋体" w:eastAsia="宋体" w:cs="宋体"/>
          <w:sz w:val="24"/>
          <w:szCs w:val="24"/>
          <w:highlight w:val="none"/>
          <w:u w:val="single"/>
        </w:rPr>
        <w:t>12个月</w:t>
      </w:r>
      <w:r>
        <w:rPr>
          <w:rFonts w:hint="eastAsia" w:ascii="宋体" w:hAnsi="宋体" w:eastAsia="宋体" w:cs="宋体"/>
          <w:sz w:val="24"/>
          <w:szCs w:val="24"/>
          <w:highlight w:val="none"/>
        </w:rPr>
        <w:t>。</w:t>
      </w:r>
    </w:p>
    <w:p w14:paraId="57F566E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15.3 质量保证金</w:t>
      </w:r>
    </w:p>
    <w:p w14:paraId="45A8C6C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关于是否扣留质量保证金的约定：</w:t>
      </w:r>
      <w:r>
        <w:rPr>
          <w:rFonts w:hint="eastAsia" w:ascii="宋体" w:hAnsi="宋体" w:eastAsia="宋体" w:cs="宋体"/>
          <w:sz w:val="24"/>
          <w:szCs w:val="24"/>
          <w:highlight w:val="none"/>
          <w:u w:val="single"/>
        </w:rPr>
        <w:t>是</w:t>
      </w:r>
      <w:r>
        <w:rPr>
          <w:rFonts w:hint="eastAsia" w:ascii="宋体" w:hAnsi="宋体" w:eastAsia="宋体" w:cs="宋体"/>
          <w:sz w:val="24"/>
          <w:szCs w:val="24"/>
          <w:highlight w:val="none"/>
        </w:rPr>
        <w:t>。</w:t>
      </w:r>
    </w:p>
    <w:p w14:paraId="62CE1C0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15.3.1 承包人提供质量保证金的方式</w:t>
      </w:r>
    </w:p>
    <w:p w14:paraId="6B88CAE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质量保证金采用以下第</w:t>
      </w:r>
      <w:r>
        <w:rPr>
          <w:rFonts w:hint="eastAsia" w:ascii="宋体" w:hAnsi="宋体" w:eastAsia="宋体" w:cs="宋体"/>
          <w:sz w:val="24"/>
          <w:szCs w:val="24"/>
          <w:highlight w:val="none"/>
          <w:u w:val="single"/>
        </w:rPr>
        <w:t xml:space="preserve"> 3 </w:t>
      </w:r>
      <w:r>
        <w:rPr>
          <w:rFonts w:hint="eastAsia" w:ascii="宋体" w:hAnsi="宋体" w:eastAsia="宋体" w:cs="宋体"/>
          <w:sz w:val="24"/>
          <w:szCs w:val="24"/>
          <w:highlight w:val="none"/>
        </w:rPr>
        <w:t>种方式：</w:t>
      </w:r>
    </w:p>
    <w:p w14:paraId="44C0FC6B">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（1）质量保证金保函，保证金额为：</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 xml:space="preserve">； </w:t>
      </w:r>
    </w:p>
    <w:p w14:paraId="1FB653C2">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rPr>
        <w:t>%的工程款；</w:t>
      </w:r>
    </w:p>
    <w:p w14:paraId="3BE4AC36">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（3）其他方式:</w:t>
      </w:r>
      <w:r>
        <w:rPr>
          <w:rFonts w:hint="eastAsia" w:ascii="宋体" w:hAnsi="宋体" w:eastAsia="宋体" w:cs="宋体"/>
          <w:szCs w:val="24"/>
          <w:highlight w:val="none"/>
        </w:rPr>
        <w:t xml:space="preserve"> </w:t>
      </w:r>
      <w:r>
        <w:rPr>
          <w:rFonts w:hint="eastAsia" w:ascii="宋体" w:hAnsi="宋体" w:eastAsia="宋体" w:cs="宋体"/>
          <w:sz w:val="24"/>
          <w:szCs w:val="24"/>
          <w:highlight w:val="none"/>
          <w:u w:val="single"/>
        </w:rPr>
        <w:t>按审定结算价的3%</w:t>
      </w:r>
      <w:r>
        <w:rPr>
          <w:rFonts w:hint="eastAsia" w:ascii="宋体" w:hAnsi="宋体" w:eastAsia="宋体" w:cs="宋体"/>
          <w:kern w:val="0"/>
          <w:sz w:val="24"/>
          <w:szCs w:val="24"/>
          <w:highlight w:val="none"/>
        </w:rPr>
        <w:t>。</w:t>
      </w:r>
    </w:p>
    <w:p w14:paraId="4C032B0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15.3.2 质量保证金的扣留 </w:t>
      </w:r>
    </w:p>
    <w:p w14:paraId="4F68F615">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工程竣工结算时一次性扣留质量保证金；</w:t>
      </w:r>
    </w:p>
    <w:p w14:paraId="66A1A19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关于质量保证金的补充约定：</w:t>
      </w:r>
      <w:r>
        <w:rPr>
          <w:rFonts w:hint="eastAsia" w:ascii="宋体" w:hAnsi="宋体" w:eastAsia="宋体" w:cs="宋体"/>
          <w:sz w:val="24"/>
          <w:szCs w:val="24"/>
          <w:highlight w:val="none"/>
          <w:u w:val="single"/>
        </w:rPr>
        <w:t>缺陷责任期满且无质量遗漏问题并办理质保期到期确认书后结清余款</w:t>
      </w:r>
      <w:r>
        <w:rPr>
          <w:rFonts w:hint="eastAsia" w:ascii="宋体" w:hAnsi="宋体" w:eastAsia="宋体" w:cs="宋体"/>
          <w:kern w:val="0"/>
          <w:sz w:val="24"/>
          <w:szCs w:val="24"/>
          <w:highlight w:val="none"/>
        </w:rPr>
        <w:t>。</w:t>
      </w:r>
    </w:p>
    <w:p w14:paraId="795F2ED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15.4保修</w:t>
      </w:r>
    </w:p>
    <w:p w14:paraId="31625D22">
      <w:pPr>
        <w:pageBreakBefore w:val="0"/>
        <w:widowControl w:val="0"/>
        <w:kinsoku/>
        <w:wordWrap/>
        <w:overflowPunct/>
        <w:topLinePunct w:val="0"/>
        <w:bidi w:val="0"/>
        <w:spacing w:line="440" w:lineRule="exact"/>
        <w:ind w:firstLine="468" w:firstLineChars="195"/>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15.4.1 保修责任</w:t>
      </w:r>
    </w:p>
    <w:p w14:paraId="5D09DC8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工程保修期为：</w:t>
      </w:r>
      <w:r>
        <w:rPr>
          <w:rFonts w:hint="eastAsia" w:ascii="宋体" w:hAnsi="宋体" w:eastAsia="宋体" w:cs="宋体"/>
          <w:kern w:val="0"/>
          <w:sz w:val="24"/>
          <w:szCs w:val="24"/>
          <w:highlight w:val="none"/>
          <w:u w:val="single"/>
        </w:rPr>
        <w:t>双方根据国家《建设工程质量管理条例》及国家、地方规范标准有关规定，结合具体工程约定质量保修期按工程质量保修书规定执行。</w:t>
      </w:r>
    </w:p>
    <w:p w14:paraId="3678781F">
      <w:pPr>
        <w:pageBreakBefore w:val="0"/>
        <w:widowControl w:val="0"/>
        <w:kinsoku/>
        <w:wordWrap/>
        <w:overflowPunct/>
        <w:topLinePunct w:val="0"/>
        <w:bidi w:val="0"/>
        <w:spacing w:line="440" w:lineRule="exact"/>
        <w:ind w:firstLine="468" w:firstLineChars="195"/>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15.4.3 修复通知</w:t>
      </w:r>
    </w:p>
    <w:p w14:paraId="0E018C2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承包人收到保修通知并到达工程现场的合理时间：</w:t>
      </w:r>
      <w:r>
        <w:rPr>
          <w:rFonts w:hint="eastAsia" w:ascii="宋体" w:hAnsi="宋体" w:eastAsia="宋体" w:cs="宋体"/>
          <w:kern w:val="0"/>
          <w:sz w:val="24"/>
          <w:szCs w:val="24"/>
          <w:highlight w:val="none"/>
          <w:u w:val="single"/>
        </w:rPr>
        <w:t>按工程质量保修书的规定执行</w:t>
      </w:r>
      <w:r>
        <w:rPr>
          <w:rFonts w:hint="eastAsia" w:ascii="宋体" w:hAnsi="宋体" w:eastAsia="宋体" w:cs="宋体"/>
          <w:kern w:val="0"/>
          <w:sz w:val="24"/>
          <w:szCs w:val="24"/>
          <w:highlight w:val="none"/>
        </w:rPr>
        <w:t>。</w:t>
      </w:r>
    </w:p>
    <w:p w14:paraId="33466D2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p>
    <w:p w14:paraId="19B7B179">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5" w:name="_Toc31810"/>
      <w:bookmarkStart w:id="206" w:name="_Toc430079015"/>
      <w:r>
        <w:rPr>
          <w:rFonts w:hint="eastAsia" w:ascii="宋体" w:hAnsi="宋体" w:eastAsia="宋体" w:cs="宋体"/>
          <w:bCs/>
          <w:sz w:val="24"/>
          <w:szCs w:val="24"/>
          <w:highlight w:val="none"/>
        </w:rPr>
        <w:t>16. 违约</w:t>
      </w:r>
      <w:bookmarkEnd w:id="205"/>
      <w:bookmarkEnd w:id="206"/>
    </w:p>
    <w:p w14:paraId="58E982A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 发包人违约</w:t>
      </w:r>
    </w:p>
    <w:p w14:paraId="640B435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16.1.1发包人违约的情形</w:t>
      </w:r>
    </w:p>
    <w:p w14:paraId="3B3D70C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发包人违约的其他情形：</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6DA158AC">
      <w:pPr>
        <w:pageBreakBefore w:val="0"/>
        <w:widowControl w:val="0"/>
        <w:kinsoku/>
        <w:wordWrap/>
        <w:overflowPunct/>
        <w:topLinePunct w:val="0"/>
        <w:bidi w:val="0"/>
        <w:spacing w:line="440" w:lineRule="exact"/>
        <w:ind w:left="1200" w:hanging="1200" w:hangingChars="5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16.1.2 发包人违约的责任</w:t>
      </w:r>
    </w:p>
    <w:p w14:paraId="48FCDF5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发包人违约责任的承担方式和计算方法：</w:t>
      </w:r>
    </w:p>
    <w:p w14:paraId="40A2983D">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因发包人原因未能在计划开工日期前7天内下达开工通知的违约责任：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5C0AA509">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因发包人原因未能按合同约定支付合同价款的违约责任：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56CE985D">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（3）发包人违反第10.1款〔变更的范围〕第（2）项约定，自行实施被取消的工作或转由他人实施的违约责任：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67FCBF19">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706D85CF">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（5）因发包人违反合同约定造成暂停施工的违约责任：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1B1B6ED8">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（6）发包人无正当理由没有在约定期限内发出复工指示，导致承包人无法复工的违约责任：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45A40C9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（7）其他：</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57E6129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16.1.3 因发包人违约解除合同</w:t>
      </w:r>
    </w:p>
    <w:p w14:paraId="254035EF">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承包人按16.1.1项〔发包人违约的情形〕约定暂停施工满</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天后发包人仍不纠正其违约行为并致使合同目的不能实现的，承包人有权解除合同。</w:t>
      </w:r>
    </w:p>
    <w:p w14:paraId="6280D6B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16.2 承包人违约</w:t>
      </w:r>
    </w:p>
    <w:p w14:paraId="2B0B33A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16.2.1 承包人违约的情形</w:t>
      </w:r>
    </w:p>
    <w:p w14:paraId="2C4DA99C">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承包人违约的其他情形：</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3DF0BF86">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16.2.2承包人违约的责任</w:t>
      </w:r>
    </w:p>
    <w:p w14:paraId="0BB14BAF">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承包人违约责任的承担方式和计算方法：</w:t>
      </w:r>
      <w:r>
        <w:rPr>
          <w:rFonts w:hint="eastAsia" w:ascii="宋体" w:hAnsi="宋体" w:eastAsia="宋体" w:cs="宋体"/>
          <w:kern w:val="0"/>
          <w:sz w:val="24"/>
          <w:szCs w:val="24"/>
          <w:highlight w:val="none"/>
          <w:u w:val="single"/>
        </w:rPr>
        <w:t>由承包人承担全部费用并承担相关法律责任</w:t>
      </w:r>
      <w:r>
        <w:rPr>
          <w:rFonts w:hint="eastAsia" w:ascii="宋体" w:hAnsi="宋体" w:eastAsia="宋体" w:cs="宋体"/>
          <w:kern w:val="0"/>
          <w:sz w:val="24"/>
          <w:szCs w:val="24"/>
          <w:highlight w:val="none"/>
        </w:rPr>
        <w:t>。</w:t>
      </w:r>
    </w:p>
    <w:p w14:paraId="52C552F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16.2.3 因承包人违约解除合同</w:t>
      </w:r>
    </w:p>
    <w:p w14:paraId="0297141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关于承包人违约解除合同的特别约定：</w:t>
      </w:r>
      <w:r>
        <w:rPr>
          <w:rFonts w:hint="eastAsia" w:ascii="宋体" w:hAnsi="宋体" w:eastAsia="宋体" w:cs="宋体"/>
          <w:kern w:val="0"/>
          <w:sz w:val="24"/>
          <w:szCs w:val="24"/>
          <w:highlight w:val="none"/>
          <w:u w:val="single"/>
        </w:rPr>
        <w:t>按通用条款执行</w:t>
      </w:r>
      <w:r>
        <w:rPr>
          <w:rFonts w:hint="eastAsia" w:ascii="宋体" w:hAnsi="宋体" w:eastAsia="宋体" w:cs="宋体"/>
          <w:kern w:val="0"/>
          <w:sz w:val="24"/>
          <w:szCs w:val="24"/>
          <w:highlight w:val="none"/>
        </w:rPr>
        <w:t>。</w:t>
      </w:r>
    </w:p>
    <w:p w14:paraId="2DEAF21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0003428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p>
    <w:p w14:paraId="3E5B92F3">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7" w:name="_Toc430079016"/>
      <w:bookmarkStart w:id="208" w:name="_Toc8782"/>
      <w:r>
        <w:rPr>
          <w:rFonts w:hint="eastAsia" w:ascii="宋体" w:hAnsi="宋体" w:eastAsia="宋体" w:cs="宋体"/>
          <w:bCs/>
          <w:sz w:val="24"/>
          <w:szCs w:val="24"/>
          <w:highlight w:val="none"/>
        </w:rPr>
        <w:t>17. 不可抗力</w:t>
      </w:r>
      <w:bookmarkEnd w:id="207"/>
      <w:bookmarkEnd w:id="208"/>
      <w:r>
        <w:rPr>
          <w:rFonts w:hint="eastAsia" w:ascii="宋体" w:hAnsi="宋体" w:eastAsia="宋体" w:cs="宋体"/>
          <w:bCs/>
          <w:sz w:val="24"/>
          <w:szCs w:val="24"/>
          <w:highlight w:val="none"/>
        </w:rPr>
        <w:t xml:space="preserve"> </w:t>
      </w:r>
    </w:p>
    <w:p w14:paraId="29E4132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17.1 不可抗力的确认</w:t>
      </w:r>
    </w:p>
    <w:p w14:paraId="4B18780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除通用合同条款约定的不可抗力事件之外，视为不可抗力的其他情形：</w:t>
      </w:r>
    </w:p>
    <w:p w14:paraId="33B8C230">
      <w:pPr>
        <w:pageBreakBefore w:val="0"/>
        <w:widowControl w:val="0"/>
        <w:kinsoku/>
        <w:wordWrap/>
        <w:overflowPunct/>
        <w:topLinePunct w:val="0"/>
        <w:bidi w:val="0"/>
        <w:spacing w:line="440" w:lineRule="exact"/>
        <w:ind w:left="48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u w:val="single"/>
        </w:rPr>
        <w:t>①8级（含8级）或以上的台风；②在24小时内（午夜至午夜）所降雨量超过200毫米；③摄氏45度以上高温天气；④6级以上地震；⑤十级以上强风暴、龙卷风；⑥五十年一遇以上洪水造成重大破坏等情况。所有上述不可抗力事件，以佛山市气象局或有关部门测定或公布的数据为准</w:t>
      </w:r>
      <w:r>
        <w:rPr>
          <w:rFonts w:hint="eastAsia" w:ascii="宋体" w:hAnsi="宋体" w:eastAsia="宋体" w:cs="宋体"/>
          <w:kern w:val="0"/>
          <w:sz w:val="24"/>
          <w:szCs w:val="24"/>
          <w:highlight w:val="none"/>
        </w:rPr>
        <w:t>。</w:t>
      </w:r>
    </w:p>
    <w:p w14:paraId="3D94E10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17.2 因不可抗力解除合同</w:t>
      </w:r>
    </w:p>
    <w:p w14:paraId="4ED145D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合同解除后，发包人应在商定或确定发包人应支付款项后</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天内完成款项的支付。</w:t>
      </w:r>
    </w:p>
    <w:p w14:paraId="1B8798E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1AC61238">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9" w:name="_Toc10324"/>
      <w:bookmarkStart w:id="210" w:name="_Toc430079017"/>
      <w:r>
        <w:rPr>
          <w:rFonts w:hint="eastAsia" w:ascii="宋体" w:hAnsi="宋体" w:eastAsia="宋体" w:cs="宋体"/>
          <w:bCs/>
          <w:sz w:val="24"/>
          <w:szCs w:val="24"/>
          <w:highlight w:val="none"/>
        </w:rPr>
        <w:t>18. 保险</w:t>
      </w:r>
      <w:bookmarkEnd w:id="209"/>
      <w:bookmarkEnd w:id="210"/>
    </w:p>
    <w:p w14:paraId="6150CFC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18.1 工程保险</w:t>
      </w:r>
    </w:p>
    <w:p w14:paraId="120B86AC">
      <w:pPr>
        <w:pageBreakBefore w:val="0"/>
        <w:widowControl w:val="0"/>
        <w:kinsoku/>
        <w:wordWrap/>
        <w:overflowPunct/>
        <w:topLinePunct w:val="0"/>
        <w:bidi w:val="0"/>
        <w:spacing w:line="440" w:lineRule="exact"/>
        <w:ind w:firstLine="48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关于工程保险的特别约定：</w:t>
      </w:r>
      <w:r>
        <w:rPr>
          <w:rFonts w:hint="eastAsia" w:ascii="宋体" w:hAnsi="宋体" w:eastAsia="宋体" w:cs="宋体"/>
          <w:kern w:val="0"/>
          <w:sz w:val="24"/>
          <w:szCs w:val="24"/>
          <w:highlight w:val="none"/>
          <w:u w:val="single"/>
        </w:rPr>
        <w:t>工程开工前，为合同工程办理</w:t>
      </w:r>
      <w:r>
        <w:rPr>
          <w:rFonts w:hint="eastAsia" w:ascii="宋体" w:hAnsi="宋体" w:eastAsia="宋体" w:cs="宋体"/>
          <w:kern w:val="0"/>
          <w:sz w:val="24"/>
          <w:szCs w:val="24"/>
          <w:highlight w:val="none"/>
          <w:u w:val="single"/>
          <w:lang w:eastAsia="zh-CN"/>
        </w:rPr>
        <w:t>建筑工程</w:t>
      </w:r>
      <w:r>
        <w:rPr>
          <w:rFonts w:hint="eastAsia" w:ascii="宋体" w:hAnsi="宋体" w:eastAsia="宋体" w:cs="宋体"/>
          <w:kern w:val="0"/>
          <w:sz w:val="24"/>
          <w:szCs w:val="24"/>
          <w:highlight w:val="none"/>
          <w:u w:val="single"/>
        </w:rPr>
        <w:t>一切险、安装工程一切险；为从事危险作业的职工办理工伤保险、意外伤害保险，并为施工场地内自有人员生命财产、施工机械设备和材料及其它相关规定要求的投保范围办理保险；为第三者办理第三者责任险，投保金额不少于100万元；上述保险的办理工作和相关一切费用由承包人负责和支付</w:t>
      </w:r>
      <w:r>
        <w:rPr>
          <w:rFonts w:hint="eastAsia" w:ascii="宋体" w:hAnsi="宋体" w:eastAsia="宋体" w:cs="宋体"/>
          <w:kern w:val="0"/>
          <w:sz w:val="24"/>
          <w:szCs w:val="24"/>
          <w:highlight w:val="none"/>
        </w:rPr>
        <w:t>。</w:t>
      </w:r>
    </w:p>
    <w:p w14:paraId="39C9B42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18.3 其他保险</w:t>
      </w:r>
    </w:p>
    <w:p w14:paraId="73AF1265">
      <w:pPr>
        <w:pageBreakBefore w:val="0"/>
        <w:widowControl w:val="0"/>
        <w:kinsoku/>
        <w:wordWrap/>
        <w:overflowPunct/>
        <w:topLinePunct w:val="0"/>
        <w:bidi w:val="0"/>
        <w:spacing w:line="440" w:lineRule="exact"/>
        <w:ind w:firstLine="417" w:firstLineChars="174"/>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关于其他保险的约定：</w:t>
      </w:r>
      <w:r>
        <w:rPr>
          <w:rFonts w:hint="eastAsia" w:ascii="宋体" w:hAnsi="宋体" w:eastAsia="宋体" w:cs="宋体"/>
          <w:sz w:val="24"/>
          <w:szCs w:val="24"/>
          <w:highlight w:val="none"/>
          <w:u w:val="single"/>
        </w:rPr>
        <w:t>（1）</w:t>
      </w:r>
      <w:r>
        <w:rPr>
          <w:rFonts w:hint="eastAsia" w:ascii="宋体" w:hAnsi="宋体" w:eastAsia="宋体" w:cs="宋体"/>
          <w:kern w:val="0"/>
          <w:sz w:val="24"/>
          <w:szCs w:val="24"/>
          <w:highlight w:val="none"/>
          <w:u w:val="single"/>
        </w:rPr>
        <w:t>按合同通用条款规定执行。</w:t>
      </w:r>
    </w:p>
    <w:p w14:paraId="05D138A1">
      <w:pPr>
        <w:pageBreakBefore w:val="0"/>
        <w:widowControl w:val="0"/>
        <w:kinsoku/>
        <w:wordWrap/>
        <w:overflowPunct/>
        <w:topLinePunct w:val="0"/>
        <w:bidi w:val="0"/>
        <w:spacing w:line="440" w:lineRule="exact"/>
        <w:ind w:firstLine="417" w:firstLineChars="174"/>
        <w:jc w:val="left"/>
        <w:textAlignment w:val="auto"/>
        <w:rPr>
          <w:rFonts w:ascii="宋体" w:hAnsi="宋体" w:eastAsia="宋体" w:cs="宋体"/>
          <w:sz w:val="24"/>
          <w:szCs w:val="20"/>
          <w:highlight w:val="none"/>
          <w:u w:val="single"/>
        </w:rPr>
      </w:pPr>
      <w:r>
        <w:rPr>
          <w:rFonts w:hint="eastAsia" w:ascii="宋体" w:hAnsi="宋体" w:eastAsia="宋体" w:cs="宋体"/>
          <w:kern w:val="0"/>
          <w:sz w:val="24"/>
          <w:szCs w:val="24"/>
          <w:highlight w:val="none"/>
          <w:u w:val="single"/>
        </w:rPr>
        <w:t>（2）</w:t>
      </w:r>
      <w:r>
        <w:rPr>
          <w:rFonts w:hint="eastAsia" w:ascii="宋体" w:hAnsi="宋体" w:eastAsia="宋体" w:cs="宋体"/>
          <w:sz w:val="24"/>
          <w:szCs w:val="20"/>
          <w:highlight w:val="none"/>
          <w:u w:val="single"/>
        </w:rPr>
        <w:t>根据《佛山市住房和城乡建设局关于印发&lt;佛山市建筑施工安全生产责任保险实施办法&gt;的通知》及《佛山市南海区住房城乡建设和水利局关于建筑施工行业实施安全生产责任保险的通知》，招标人在编制工程项目预算（最高投标限价）时，已将建筑施工安责险保险费单独列入工程项目预算（最高投标限价）中，专款专用。中标人则须以项目为单位投保建筑施工安责险，保险费计算基数为工程项目合同造价，并按相关保险费率购买，超出的费用由中标人承担。</w:t>
      </w:r>
    </w:p>
    <w:p w14:paraId="7F96145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sz w:val="24"/>
          <w:szCs w:val="20"/>
          <w:highlight w:val="none"/>
          <w:u w:val="single"/>
        </w:rPr>
        <w:t>关于本工程建筑施工安全生产责任保险的计取，参照《佛山市南海区住房城乡建设和水利局关于建筑施工行业实施安全生产责任保险的通知》有关保险费率和保费计算方式，本项目</w:t>
      </w:r>
      <w:r>
        <w:rPr>
          <w:rFonts w:hint="eastAsia" w:ascii="宋体" w:hAnsi="宋体" w:eastAsia="宋体" w:cs="宋体"/>
          <w:sz w:val="24"/>
          <w:szCs w:val="20"/>
          <w:highlight w:val="none"/>
          <w:u w:val="single"/>
          <w:lang w:eastAsia="zh-CN"/>
        </w:rPr>
        <w:t>以房屋建筑工程的分部分项工程费为计算基础，基础费率为主险+附加险下限0.114%计算，工期系数为0.9，工程造价系数为1.1，单项工程最低保费为3000元，计入建筑与装饰部分</w:t>
      </w:r>
      <w:r>
        <w:rPr>
          <w:rFonts w:hint="eastAsia" w:ascii="宋体" w:hAnsi="宋体" w:eastAsia="宋体" w:cs="宋体"/>
          <w:sz w:val="24"/>
          <w:szCs w:val="20"/>
          <w:highlight w:val="none"/>
          <w:u w:val="single"/>
        </w:rPr>
        <w:t>，结算时按发票金额进行调整，但不超过本合同的安全生产责任保险费用</w:t>
      </w:r>
      <w:r>
        <w:rPr>
          <w:rFonts w:hint="eastAsia" w:ascii="宋体" w:hAnsi="宋体" w:eastAsia="宋体" w:cs="宋体"/>
          <w:kern w:val="0"/>
          <w:sz w:val="24"/>
          <w:szCs w:val="24"/>
          <w:highlight w:val="none"/>
        </w:rPr>
        <w:t>。</w:t>
      </w:r>
    </w:p>
    <w:p w14:paraId="72C847D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sz w:val="24"/>
          <w:szCs w:val="24"/>
          <w:highlight w:val="none"/>
        </w:rPr>
        <w:t>承包人是否应为其施工设备等办理财产保险：</w:t>
      </w:r>
      <w:r>
        <w:rPr>
          <w:rFonts w:hint="eastAsia" w:ascii="宋体" w:hAnsi="宋体" w:eastAsia="宋体" w:cs="宋体"/>
          <w:sz w:val="24"/>
          <w:szCs w:val="24"/>
          <w:highlight w:val="none"/>
          <w:u w:val="single"/>
        </w:rPr>
        <w:t>是，保险期从开工之日起至工程竣工验收合格之日止，相关费用由承包人自行承担</w:t>
      </w:r>
      <w:r>
        <w:rPr>
          <w:rFonts w:hint="eastAsia" w:ascii="宋体" w:hAnsi="宋体" w:eastAsia="宋体" w:cs="宋体"/>
          <w:sz w:val="24"/>
          <w:szCs w:val="24"/>
          <w:highlight w:val="none"/>
        </w:rPr>
        <w:t>。</w:t>
      </w:r>
    </w:p>
    <w:p w14:paraId="27A821F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18.7 通知义务</w:t>
      </w:r>
    </w:p>
    <w:p w14:paraId="3EBE979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关于变更保险合同时的通知义务的约定：</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578E5F0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4E265F6F">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11" w:name="_Toc562"/>
      <w:bookmarkStart w:id="212" w:name="_Toc430079018"/>
      <w:r>
        <w:rPr>
          <w:rFonts w:hint="eastAsia" w:ascii="宋体" w:hAnsi="宋体" w:eastAsia="宋体" w:cs="宋体"/>
          <w:bCs/>
          <w:sz w:val="24"/>
          <w:szCs w:val="24"/>
          <w:highlight w:val="none"/>
        </w:rPr>
        <w:t>20. 争议解决</w:t>
      </w:r>
      <w:bookmarkEnd w:id="211"/>
      <w:bookmarkEnd w:id="212"/>
    </w:p>
    <w:p w14:paraId="434C264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20.4仲裁或诉讼</w:t>
      </w:r>
    </w:p>
    <w:p w14:paraId="60C2B8E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因合同及合同有关事项发生的争议，按下列第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种方式解决：</w:t>
      </w:r>
    </w:p>
    <w:p w14:paraId="5AAF78A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（1）向</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仲裁委员会申请仲裁；</w:t>
      </w:r>
    </w:p>
    <w:p w14:paraId="7D4A8A0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（2）向</w:t>
      </w:r>
      <w:r>
        <w:rPr>
          <w:rFonts w:hint="eastAsia" w:ascii="宋体" w:hAnsi="宋体" w:eastAsia="宋体" w:cs="宋体"/>
          <w:sz w:val="24"/>
          <w:szCs w:val="24"/>
          <w:highlight w:val="none"/>
          <w:u w:val="single"/>
        </w:rPr>
        <w:t>工程所在地的人民法院</w:t>
      </w:r>
      <w:r>
        <w:rPr>
          <w:rFonts w:hint="eastAsia" w:ascii="宋体" w:hAnsi="宋体" w:eastAsia="宋体" w:cs="宋体"/>
          <w:sz w:val="24"/>
          <w:szCs w:val="24"/>
          <w:highlight w:val="none"/>
        </w:rPr>
        <w:t>起诉。</w:t>
      </w:r>
    </w:p>
    <w:p w14:paraId="162A1884">
      <w:pPr>
        <w:keepNext/>
        <w:keepLines/>
        <w:spacing w:line="400" w:lineRule="exact"/>
        <w:jc w:val="left"/>
        <w:outlineLvl w:val="2"/>
        <w:rPr>
          <w:rFonts w:ascii="宋体" w:hAnsi="宋体" w:eastAsia="宋体" w:cs="宋体"/>
          <w:bCs/>
          <w:sz w:val="32"/>
          <w:szCs w:val="32"/>
          <w:highlight w:val="none"/>
        </w:rPr>
      </w:pPr>
      <w:r>
        <w:rPr>
          <w:rFonts w:hint="eastAsia" w:ascii="宋体" w:hAnsi="宋体" w:eastAsia="宋体" w:cs="宋体"/>
          <w:b/>
          <w:bCs/>
          <w:sz w:val="24"/>
          <w:szCs w:val="32"/>
          <w:highlight w:val="none"/>
        </w:rPr>
        <w:br w:type="page"/>
      </w:r>
      <w:bookmarkEnd w:id="168"/>
      <w:bookmarkEnd w:id="169"/>
      <w:bookmarkEnd w:id="170"/>
      <w:bookmarkEnd w:id="171"/>
      <w:bookmarkEnd w:id="172"/>
      <w:bookmarkEnd w:id="173"/>
      <w:bookmarkEnd w:id="174"/>
      <w:bookmarkStart w:id="213" w:name="_Toc29559"/>
      <w:bookmarkStart w:id="214" w:name="_Toc430079019"/>
      <w:bookmarkStart w:id="215" w:name="_Toc417738186"/>
      <w:bookmarkStart w:id="216" w:name="_Toc484634653"/>
      <w:bookmarkStart w:id="217" w:name="_Toc163474717"/>
      <w:bookmarkStart w:id="218" w:name="_Toc167891502"/>
      <w:bookmarkStart w:id="219" w:name="_Toc438131919"/>
      <w:r>
        <w:rPr>
          <w:rFonts w:hint="eastAsia" w:ascii="宋体" w:hAnsi="宋体" w:eastAsia="宋体" w:cs="宋体"/>
          <w:bCs/>
          <w:sz w:val="32"/>
          <w:szCs w:val="32"/>
          <w:highlight w:val="none"/>
        </w:rPr>
        <w:t>附</w:t>
      </w:r>
      <w:bookmarkStart w:id="220" w:name="_Toc296346727"/>
      <w:bookmarkStart w:id="221" w:name="_Toc267261693"/>
      <w:bookmarkStart w:id="222" w:name="_Toc296891266"/>
      <w:bookmarkStart w:id="223" w:name="_Toc296944565"/>
      <w:bookmarkStart w:id="224" w:name="_Toc296891054"/>
      <w:bookmarkStart w:id="225" w:name="_Toc296347225"/>
      <w:bookmarkStart w:id="226" w:name="_Toc296503226"/>
      <w:r>
        <w:rPr>
          <w:rFonts w:hint="eastAsia" w:ascii="宋体" w:hAnsi="宋体" w:eastAsia="宋体" w:cs="宋体"/>
          <w:bCs/>
          <w:sz w:val="32"/>
          <w:szCs w:val="32"/>
          <w:highlight w:val="none"/>
        </w:rPr>
        <w:t>件1</w:t>
      </w:r>
      <w:bookmarkEnd w:id="213"/>
      <w:bookmarkEnd w:id="214"/>
      <w:bookmarkEnd w:id="215"/>
      <w:bookmarkEnd w:id="216"/>
      <w:bookmarkEnd w:id="217"/>
      <w:bookmarkEnd w:id="218"/>
      <w:bookmarkEnd w:id="220"/>
      <w:bookmarkEnd w:id="221"/>
      <w:bookmarkEnd w:id="222"/>
      <w:bookmarkEnd w:id="223"/>
      <w:bookmarkEnd w:id="224"/>
      <w:bookmarkEnd w:id="225"/>
      <w:bookmarkEnd w:id="226"/>
    </w:p>
    <w:p w14:paraId="54E93A3F">
      <w:pPr>
        <w:keepNext/>
        <w:keepLines/>
        <w:spacing w:line="400" w:lineRule="exact"/>
        <w:jc w:val="center"/>
        <w:outlineLvl w:val="2"/>
        <w:rPr>
          <w:rFonts w:ascii="宋体" w:hAnsi="宋体" w:eastAsia="宋体" w:cs="宋体"/>
          <w:b/>
          <w:bCs/>
          <w:sz w:val="32"/>
          <w:szCs w:val="32"/>
          <w:highlight w:val="none"/>
        </w:rPr>
      </w:pPr>
      <w:bookmarkStart w:id="227" w:name="_Toc484634654"/>
      <w:bookmarkStart w:id="228" w:name="_Toc6911"/>
      <w:bookmarkStart w:id="229" w:name="_Toc167891503"/>
      <w:bookmarkStart w:id="230" w:name="_Toc163474718"/>
      <w:r>
        <w:rPr>
          <w:rFonts w:hint="eastAsia" w:ascii="宋体" w:hAnsi="宋体" w:eastAsia="宋体" w:cs="宋体"/>
          <w:b/>
          <w:bCs/>
          <w:sz w:val="32"/>
          <w:szCs w:val="32"/>
          <w:highlight w:val="none"/>
        </w:rPr>
        <w:t>工程质量保修书</w:t>
      </w:r>
      <w:bookmarkEnd w:id="219"/>
      <w:bookmarkEnd w:id="227"/>
      <w:bookmarkEnd w:id="228"/>
      <w:bookmarkEnd w:id="229"/>
      <w:bookmarkEnd w:id="230"/>
    </w:p>
    <w:p w14:paraId="2BF52852">
      <w:pPr>
        <w:spacing w:line="460" w:lineRule="exact"/>
        <w:ind w:firstLine="480" w:firstLineChars="200"/>
        <w:rPr>
          <w:rFonts w:ascii="宋体" w:hAnsi="宋体" w:eastAsia="宋体" w:cs="宋体"/>
          <w:sz w:val="24"/>
          <w:szCs w:val="24"/>
          <w:highlight w:val="none"/>
        </w:rPr>
      </w:pPr>
    </w:p>
    <w:p w14:paraId="24B72F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lang w:eastAsia="zh-CN"/>
        </w:rPr>
        <w:t>佛山市南海区狮山镇下柏社区下柏经济联合社</w:t>
      </w:r>
    </w:p>
    <w:p w14:paraId="47AD66B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p>
    <w:p w14:paraId="0E78C73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p>
    <w:p w14:paraId="045895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lang w:eastAsia="zh-CN"/>
        </w:rPr>
        <w:t>狮山镇下柏社区本德黄公祠修缮工程</w:t>
      </w:r>
      <w:r>
        <w:rPr>
          <w:rFonts w:hint="eastAsia" w:ascii="宋体" w:hAnsi="宋体" w:eastAsia="宋体" w:cs="宋体"/>
          <w:sz w:val="24"/>
          <w:szCs w:val="24"/>
          <w:highlight w:val="none"/>
        </w:rPr>
        <w:t>签订工程质量保修书。</w:t>
      </w:r>
    </w:p>
    <w:p w14:paraId="1E2B06D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　　一、工程质量保修范围和内容</w:t>
      </w:r>
    </w:p>
    <w:p w14:paraId="71CF17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承包人在质量保修期内，按照有关法律规定和合同约定，承担工程质量保修责任。</w:t>
      </w:r>
    </w:p>
    <w:p w14:paraId="6FFC6C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 w:val="24"/>
          <w:szCs w:val="24"/>
          <w:highlight w:val="none"/>
          <w:u w:val="single"/>
        </w:rPr>
        <w:t>承包人所承包施工的全部工程内容</w:t>
      </w:r>
      <w:r>
        <w:rPr>
          <w:rFonts w:hint="eastAsia" w:ascii="宋体" w:hAnsi="宋体" w:eastAsia="宋体" w:cs="宋体"/>
          <w:sz w:val="24"/>
          <w:szCs w:val="24"/>
          <w:highlight w:val="none"/>
        </w:rPr>
        <w:t>。</w:t>
      </w:r>
    </w:p>
    <w:p w14:paraId="1F8E2FB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　　二、质量保修期</w:t>
      </w:r>
    </w:p>
    <w:p w14:paraId="234F9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5C0961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1．地基基础工程和主体结构工程为设计文件规定的工程合理使用年限；</w:t>
      </w:r>
    </w:p>
    <w:p w14:paraId="1D5746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2．屋面防水工程、有防水要求的卫生间、房间和外墙面的防渗为5 年；</w:t>
      </w:r>
    </w:p>
    <w:p w14:paraId="668A89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3．装修工程为 2 年；</w:t>
      </w:r>
    </w:p>
    <w:p w14:paraId="75D036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4．电气管线、给排水管道、设备安装工程为 2 年；</w:t>
      </w:r>
    </w:p>
    <w:p w14:paraId="2CFAF1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5．供热与供冷系统为2个采暖期、供冷期；</w:t>
      </w:r>
    </w:p>
    <w:p w14:paraId="1ECE22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6．住宅小区内的给排水设施、道路等配套工程为</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年；</w:t>
      </w:r>
    </w:p>
    <w:p w14:paraId="6FBF25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7．其他项目保修期限约定如下：1年。</w:t>
      </w:r>
    </w:p>
    <w:p w14:paraId="1A65C3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质量保修期自工程竣工验收合格之日起计算。</w:t>
      </w:r>
    </w:p>
    <w:p w14:paraId="5398798E">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三、缺陷责任期</w:t>
      </w:r>
    </w:p>
    <w:p w14:paraId="27397E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工程缺陷责任期为12个月，缺陷责任期自实际竣工之日起计算。单位工程先于全部工程进行验收，单位工程缺陷责任期自单位工程实际竣工之日起算。</w:t>
      </w:r>
    </w:p>
    <w:p w14:paraId="3D0EA4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57EF020D">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四、质量保修责任</w:t>
      </w:r>
    </w:p>
    <w:p w14:paraId="7167A09C">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1．属于保修范围、内容的项目，承包人应当在接到保修通知之日起7天内派人保修。承包人不在约定期限内派人保修的，发包人可以委托他人修理，相关费用在质保金内扣除。</w:t>
      </w:r>
    </w:p>
    <w:p w14:paraId="20F78C93">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2．发生紧急事故需抢修的，承包人在接到事故通知后，应当立即到达事故现场抢修，抢修费用由承包人承担。</w:t>
      </w:r>
    </w:p>
    <w:p w14:paraId="6CCE726F">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6D62D41">
      <w:pPr>
        <w:keepNext w:val="0"/>
        <w:keepLines w:val="0"/>
        <w:pageBreakBefore w:val="0"/>
        <w:widowControl w:val="0"/>
        <w:kinsoku/>
        <w:wordWrap/>
        <w:overflowPunct/>
        <w:topLinePunct w:val="0"/>
        <w:autoSpaceDE/>
        <w:autoSpaceDN/>
        <w:bidi w:val="0"/>
        <w:adjustRightInd/>
        <w:snapToGrid/>
        <w:spacing w:line="440" w:lineRule="exact"/>
        <w:ind w:left="420" w:leftChars="200" w:firstLine="120" w:firstLineChars="50"/>
        <w:textAlignment w:val="auto"/>
        <w:rPr>
          <w:rFonts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502A7F6A">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五、保修费用</w:t>
      </w:r>
    </w:p>
    <w:p w14:paraId="2551D425">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保修费用由造成质量缺陷的责任方承担。</w:t>
      </w:r>
    </w:p>
    <w:p w14:paraId="2077298A">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六、双方约定的其他工程质量保修事项：</w:t>
      </w:r>
      <w:r>
        <w:rPr>
          <w:rFonts w:hint="eastAsia" w:ascii="宋体" w:hAnsi="宋体" w:eastAsia="宋体" w:cs="宋体"/>
          <w:b/>
          <w:sz w:val="24"/>
          <w:szCs w:val="24"/>
          <w:highlight w:val="none"/>
          <w:u w:val="single"/>
        </w:rPr>
        <w:t xml:space="preserve">         /               </w:t>
      </w:r>
      <w:r>
        <w:rPr>
          <w:rFonts w:hint="eastAsia" w:ascii="宋体" w:hAnsi="宋体" w:eastAsia="宋体" w:cs="宋体"/>
          <w:b/>
          <w:sz w:val="24"/>
          <w:szCs w:val="24"/>
          <w:highlight w:val="none"/>
        </w:rPr>
        <w:t>。</w:t>
      </w:r>
    </w:p>
    <w:p w14:paraId="29C2819B">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372E1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eastAsia="宋体" w:cs="宋体"/>
          <w:sz w:val="24"/>
          <w:szCs w:val="24"/>
          <w:highlight w:val="none"/>
        </w:rPr>
      </w:pPr>
    </w:p>
    <w:p w14:paraId="62947138">
      <w:pPr>
        <w:keepNext w:val="0"/>
        <w:keepLines w:val="0"/>
        <w:pageBreakBefore w:val="0"/>
        <w:widowControl w:val="0"/>
        <w:kinsoku/>
        <w:wordWrap/>
        <w:overflowPunct/>
        <w:topLinePunct w:val="0"/>
        <w:autoSpaceDE/>
        <w:autoSpaceDN/>
        <w:bidi w:val="0"/>
        <w:adjustRightInd/>
        <w:snapToGrid/>
        <w:spacing w:line="440" w:lineRule="exact"/>
        <w:ind w:left="6720" w:hanging="6720" w:hangingChars="28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12394DE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p>
    <w:p w14:paraId="5DB6ABD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3CAB793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u w:val="single"/>
        </w:rPr>
      </w:pPr>
    </w:p>
    <w:p w14:paraId="6EAD1A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3770123">
      <w:pPr>
        <w:keepNext/>
        <w:keepLines/>
        <w:spacing w:line="400" w:lineRule="exact"/>
        <w:jc w:val="left"/>
        <w:outlineLvl w:val="2"/>
        <w:rPr>
          <w:rFonts w:ascii="宋体" w:hAnsi="宋体" w:eastAsia="宋体" w:cs="宋体"/>
          <w:bCs/>
          <w:sz w:val="32"/>
          <w:szCs w:val="32"/>
          <w:highlight w:val="none"/>
        </w:rPr>
      </w:pPr>
      <w:r>
        <w:rPr>
          <w:rFonts w:hint="eastAsia" w:ascii="宋体" w:hAnsi="宋体" w:eastAsia="宋体" w:cs="宋体"/>
          <w:b/>
          <w:bCs/>
          <w:sz w:val="32"/>
          <w:szCs w:val="32"/>
          <w:highlight w:val="none"/>
        </w:rPr>
        <w:br w:type="page"/>
      </w:r>
      <w:bookmarkStart w:id="231" w:name="_Toc163474719"/>
      <w:bookmarkStart w:id="232" w:name="_Toc484634655"/>
      <w:bookmarkStart w:id="233" w:name="_Toc2703"/>
      <w:bookmarkStart w:id="234" w:name="_Toc167891504"/>
      <w:bookmarkStart w:id="235" w:name="_Toc438131920"/>
      <w:r>
        <w:rPr>
          <w:rFonts w:hint="eastAsia" w:ascii="宋体" w:hAnsi="宋体" w:eastAsia="宋体" w:cs="宋体"/>
          <w:bCs/>
          <w:sz w:val="32"/>
          <w:szCs w:val="32"/>
          <w:highlight w:val="none"/>
        </w:rPr>
        <w:t>附件2</w:t>
      </w:r>
      <w:bookmarkEnd w:id="231"/>
      <w:bookmarkEnd w:id="232"/>
      <w:bookmarkEnd w:id="233"/>
      <w:bookmarkEnd w:id="234"/>
    </w:p>
    <w:p w14:paraId="6EF68E11">
      <w:pPr>
        <w:keepNext/>
        <w:keepLines/>
        <w:spacing w:line="400" w:lineRule="exact"/>
        <w:jc w:val="center"/>
        <w:outlineLvl w:val="2"/>
        <w:rPr>
          <w:rFonts w:ascii="宋体" w:hAnsi="宋体" w:eastAsia="宋体" w:cs="宋体"/>
          <w:b/>
          <w:bCs/>
          <w:sz w:val="32"/>
          <w:szCs w:val="32"/>
          <w:highlight w:val="none"/>
        </w:rPr>
      </w:pPr>
      <w:bookmarkStart w:id="236" w:name="_Toc163474720"/>
      <w:bookmarkStart w:id="237" w:name="_Toc16602"/>
      <w:bookmarkStart w:id="238" w:name="_Toc484634656"/>
      <w:bookmarkStart w:id="239" w:name="_Toc167891505"/>
      <w:r>
        <w:rPr>
          <w:rFonts w:hint="eastAsia" w:ascii="宋体" w:hAnsi="宋体" w:eastAsia="宋体" w:cs="宋体"/>
          <w:b/>
          <w:bCs/>
          <w:sz w:val="32"/>
          <w:szCs w:val="32"/>
          <w:highlight w:val="none"/>
        </w:rPr>
        <w:t>廉  政  合  同</w:t>
      </w:r>
      <w:bookmarkEnd w:id="235"/>
      <w:bookmarkEnd w:id="236"/>
      <w:bookmarkEnd w:id="237"/>
      <w:bookmarkEnd w:id="238"/>
      <w:bookmarkEnd w:id="239"/>
    </w:p>
    <w:p w14:paraId="71E96FC6">
      <w:pPr>
        <w:spacing w:line="460" w:lineRule="exact"/>
        <w:rPr>
          <w:rFonts w:ascii="宋体" w:hAnsi="宋体" w:eastAsia="宋体" w:cs="宋体"/>
          <w:sz w:val="24"/>
          <w:szCs w:val="24"/>
          <w:highlight w:val="none"/>
        </w:rPr>
      </w:pPr>
    </w:p>
    <w:p w14:paraId="5F9ED8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lang w:eastAsia="zh-CN"/>
        </w:rPr>
        <w:t>佛山市南海区狮山镇下柏社区下柏经济联合社</w:t>
      </w:r>
    </w:p>
    <w:p w14:paraId="7DB0F3D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p>
    <w:p w14:paraId="02B47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position w:val="-2"/>
          <w:sz w:val="24"/>
          <w:szCs w:val="24"/>
          <w:highlight w:val="none"/>
        </w:rPr>
      </w:pPr>
    </w:p>
    <w:p w14:paraId="094383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position w:val="-2"/>
          <w:sz w:val="24"/>
          <w:szCs w:val="24"/>
          <w:highlight w:val="none"/>
        </w:rPr>
        <w:t>根据国家、省有关廉政建设的规定，为做好合同工程的廉政建设，保证工程质量与施工安全，提高建设资金的有效使用和投资效益，合同双方当事人就加强合同工程的廉政建设，订立本合同。</w:t>
      </w:r>
    </w:p>
    <w:p w14:paraId="06808B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1</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双方权利和义务</w:t>
      </w:r>
    </w:p>
    <w:p w14:paraId="5E415CD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 严格遵守国家、省有关法律法规的规定。</w:t>
      </w:r>
    </w:p>
    <w:p w14:paraId="014247AD">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1.2 严格执行合同工程一切合同文件，自觉按合同办事。</w:t>
      </w:r>
    </w:p>
    <w:p w14:paraId="66E80CD3">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 合同双方当事人的业务活动应坚持公平、公开、公正和诚信的原则（法律认定的商业秘密和合同文件另有规定除外），不得损害国家和集体利益，不得违反工程建设管理规章制度。</w:t>
      </w:r>
    </w:p>
    <w:p w14:paraId="2C4D32B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 建立健全廉政制度，开展廉政教育，设立廉政告示牌，公布举报电话，监督并认真查处违法违纪行为。</w:t>
      </w:r>
    </w:p>
    <w:p w14:paraId="54A0BC05">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 发现对方在业务活动中有违反廉政建设规定的行为，应及时给予提醒和纠正。</w:t>
      </w:r>
    </w:p>
    <w:p w14:paraId="3AFDC036">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 发现对方严重违反合同的行为，有向其上级部门举报、建议给予处理并要求告知处理 结果的权利。没有上级部门的，可按本合同第二部分《通用条款》相关规定处理。</w:t>
      </w:r>
    </w:p>
    <w:p w14:paraId="223714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2</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发包人义务</w:t>
      </w:r>
    </w:p>
    <w:p w14:paraId="46C94363">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2.1 发包人及其工作人员不得索取或接受承包人的礼金、有价证券和贵重物品，不得在承包人报销任何应由发包人或其工作人员个人支付的费用。</w:t>
      </w:r>
    </w:p>
    <w:p w14:paraId="7FFAF748">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2.2 发包人及其工作人员不得参加承包人安排的宴请（工作餐除外）和娱乐活动，不得接受承包人提供的通讯、交通工具和高档办公用品等物品。</w:t>
      </w:r>
    </w:p>
    <w:p w14:paraId="3C1ED4A6">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2.3 发包人及其工作人员不得要求或者接受承包人为其住房装修、婚丧嫁娶活动、配偶子女工作安排以及出国出境、旅游等提供方便。</w:t>
      </w:r>
    </w:p>
    <w:p w14:paraId="50F3CC62">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2.4 发包人及其工作人员不得以任何理由向承包人推荐分包人、推销材料和工程设备，不得要求承包人购买合同以外的材料和工程设备。</w:t>
      </w:r>
    </w:p>
    <w:p w14:paraId="6A13379F">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2.5 发包人及其工作人员要秉公办事，不准营私舞弊，不准利用职权私自为合同工程安排施工队伍，也不得从事与合同工程有关的各种有偿中介活动。</w:t>
      </w:r>
    </w:p>
    <w:p w14:paraId="475F34C4">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2.6 发包人及其工作人员（含其配偶、子女）不得从事与合同工程有关的材料和工程设备供应、工程分包、劳务等经济活动。</w:t>
      </w:r>
    </w:p>
    <w:p w14:paraId="60416F3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3</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承包人义务</w:t>
      </w:r>
    </w:p>
    <w:p w14:paraId="0CB6F4A8">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3.1 承包人不得以任何理由向发包人及其工作人员行贿或馈赠礼金、有价证券、贵重礼品。</w:t>
      </w:r>
    </w:p>
    <w:p w14:paraId="01D6F80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 承包人不得以任何名义为发包人及其工作人员报销应由发包人或其工作人员个人支付的任何费用。</w:t>
      </w:r>
    </w:p>
    <w:p w14:paraId="6014FCC5">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 承包人不得以任何理由安排发包人及其工作人员参加宴请（工作餐除外）及娱乐活动。</w:t>
      </w:r>
    </w:p>
    <w:p w14:paraId="6F934456">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3.4 承包人不得为发包人和个人购置或提供通讯、交通工具和高档办公用品等物品。</w:t>
      </w:r>
    </w:p>
    <w:p w14:paraId="2560FEA1">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3.5 承包人不得为发包人及其工作人员的住房装修、婚丧嫁娶活动、配偶子女工作安排以及出国出境、旅游等提供方便。</w:t>
      </w:r>
    </w:p>
    <w:p w14:paraId="6640C6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4</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违约责任</w:t>
      </w:r>
    </w:p>
    <w:p w14:paraId="2413A5A4">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 发包人及其工作人员违反本合同第 1 条和第 2 条规定，应按照廉政建设的有关规定给予处分；涉嫌犯罪的，移交司法机关追究刑事责任；给承包人造成损失的，应予赔偿。</w:t>
      </w:r>
    </w:p>
    <w:p w14:paraId="1DAF88E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4.2 承包人及其工作人员违反本合同第 1 条和第 3 条规定，应按照廉政建设的有关规定给予处分；情节严重的，给予承包人 1～3 年内不得进入工程建设市场的处罚；涉嫌犯罪的，移交司法机关追究刑事责任；给发包人造成损失的，应予赔偿；</w:t>
      </w:r>
    </w:p>
    <w:p w14:paraId="14DCD2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5  双方约定</w:t>
      </w:r>
    </w:p>
    <w:p w14:paraId="229423B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本合同由合同双方当事人或其上级部门负责监督执行，并由合同双方当事人或其上级部门相互约请对本合同执行情况进行检查。</w:t>
      </w:r>
    </w:p>
    <w:p w14:paraId="4E51FE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6</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合同法律效力</w:t>
      </w:r>
    </w:p>
    <w:p w14:paraId="7252E4CA">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本合同作为</w:t>
      </w:r>
      <w:r>
        <w:rPr>
          <w:rFonts w:hint="eastAsia" w:ascii="宋体" w:hAnsi="宋体" w:eastAsia="宋体" w:cs="宋体"/>
          <w:sz w:val="24"/>
          <w:szCs w:val="24"/>
          <w:highlight w:val="none"/>
          <w:u w:val="single"/>
          <w:lang w:eastAsia="zh-CN"/>
        </w:rPr>
        <w:t>狮山镇下柏社区本德黄公祠修缮工程</w:t>
      </w:r>
      <w:r>
        <w:rPr>
          <w:rFonts w:hint="eastAsia" w:ascii="宋体" w:hAnsi="宋体" w:eastAsia="宋体" w:cs="宋体"/>
          <w:sz w:val="24"/>
          <w:szCs w:val="24"/>
          <w:highlight w:val="none"/>
        </w:rPr>
        <w:t>施工合同的附件，与施工合同具有同等的法律效力。</w:t>
      </w:r>
    </w:p>
    <w:p w14:paraId="1F806A2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7</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合同生效</w:t>
      </w:r>
    </w:p>
    <w:p w14:paraId="493FFD02">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本合同自合同双方当事人签署之日起生效，至合同工程竣工验收合格之日后失效。</w:t>
      </w:r>
    </w:p>
    <w:p w14:paraId="580F600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8</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合同份数</w:t>
      </w:r>
    </w:p>
    <w:p w14:paraId="6081ABCB">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w:t>
      </w:r>
    </w:p>
    <w:p w14:paraId="7DFCBC70">
      <w:pPr>
        <w:keepNext w:val="0"/>
        <w:keepLines w:val="0"/>
        <w:pageBreakBefore w:val="0"/>
        <w:widowControl w:val="0"/>
        <w:tabs>
          <w:tab w:val="left" w:pos="5295"/>
        </w:tabs>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（廉政合同签署页）</w:t>
      </w:r>
    </w:p>
    <w:p w14:paraId="63F228B7">
      <w:pPr>
        <w:keepNext w:val="0"/>
        <w:keepLines w:val="0"/>
        <w:pageBreakBefore w:val="0"/>
        <w:widowControl w:val="0"/>
        <w:tabs>
          <w:tab w:val="left" w:pos="5295"/>
        </w:tabs>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  包  人</w:t>
      </w:r>
      <w:r>
        <w:rPr>
          <w:rFonts w:hint="eastAsia" w:ascii="宋体" w:hAnsi="宋体" w:eastAsia="宋体" w:cs="宋体"/>
          <w:spacing w:val="-120"/>
          <w:sz w:val="24"/>
          <w:szCs w:val="24"/>
          <w:highlight w:val="none"/>
        </w:rPr>
        <w:t>：</w:t>
      </w:r>
      <w:r>
        <w:rPr>
          <w:rFonts w:hint="eastAsia" w:ascii="宋体" w:hAnsi="宋体" w:eastAsia="宋体" w:cs="宋体"/>
          <w:sz w:val="24"/>
          <w:szCs w:val="24"/>
          <w:highlight w:val="none"/>
        </w:rPr>
        <w:t>（公章）</w:t>
      </w:r>
      <w:r>
        <w:rPr>
          <w:rFonts w:hint="eastAsia" w:ascii="宋体" w:hAnsi="宋体" w:eastAsia="宋体" w:cs="宋体"/>
          <w:sz w:val="24"/>
          <w:szCs w:val="24"/>
          <w:highlight w:val="none"/>
        </w:rPr>
        <w:tab/>
      </w:r>
      <w:r>
        <w:rPr>
          <w:rFonts w:hint="eastAsia" w:ascii="宋体" w:hAnsi="宋体" w:eastAsia="宋体" w:cs="宋体"/>
          <w:sz w:val="24"/>
          <w:szCs w:val="24"/>
          <w:highlight w:val="none"/>
        </w:rPr>
        <w:t>承  包  人</w:t>
      </w:r>
      <w:r>
        <w:rPr>
          <w:rFonts w:hint="eastAsia" w:ascii="宋体" w:hAnsi="宋体" w:eastAsia="宋体" w:cs="宋体"/>
          <w:spacing w:val="-120"/>
          <w:sz w:val="24"/>
          <w:szCs w:val="24"/>
          <w:highlight w:val="none"/>
        </w:rPr>
        <w:t>：</w:t>
      </w:r>
      <w:r>
        <w:rPr>
          <w:rFonts w:hint="eastAsia" w:ascii="宋体" w:hAnsi="宋体" w:eastAsia="宋体" w:cs="宋体"/>
          <w:sz w:val="24"/>
          <w:szCs w:val="24"/>
          <w:highlight w:val="none"/>
        </w:rPr>
        <w:t>（公章）</w:t>
      </w:r>
    </w:p>
    <w:p w14:paraId="25F140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60762A6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7D98E648">
      <w:pPr>
        <w:tabs>
          <w:tab w:val="left" w:pos="540"/>
        </w:tabs>
        <w:spacing w:line="460" w:lineRule="exact"/>
        <w:rPr>
          <w:rFonts w:ascii="宋体" w:hAnsi="宋体" w:eastAsia="宋体" w:cs="宋体"/>
          <w:sz w:val="24"/>
          <w:szCs w:val="24"/>
          <w:highlight w:val="none"/>
        </w:rPr>
      </w:pPr>
      <w:r>
        <w:rPr>
          <w:rFonts w:hint="eastAsia" w:ascii="宋体" w:hAnsi="宋体" w:eastAsia="宋体" w:cs="宋体"/>
          <w:szCs w:val="24"/>
          <w:highlight w:val="none"/>
        </w:rPr>
        <w:br w:type="page"/>
      </w:r>
      <w:r>
        <w:rPr>
          <w:rFonts w:hint="eastAsia" w:ascii="宋体" w:hAnsi="宋体" w:eastAsia="宋体" w:cs="宋体"/>
          <w:sz w:val="28"/>
          <w:szCs w:val="28"/>
          <w:highlight w:val="none"/>
        </w:rPr>
        <w:t>附件3</w:t>
      </w:r>
    </w:p>
    <w:p w14:paraId="384F0C96">
      <w:pPr>
        <w:tabs>
          <w:tab w:val="left" w:pos="540"/>
        </w:tabs>
        <w:spacing w:before="120" w:beforeLines="50" w:after="120" w:afterLines="50" w:line="540" w:lineRule="exact"/>
        <w:ind w:firstLine="562" w:firstLineChars="200"/>
        <w:jc w:val="center"/>
        <w:rPr>
          <w:rFonts w:ascii="宋体" w:hAnsi="宋体" w:eastAsia="宋体" w:cs="宋体"/>
          <w:b/>
          <w:bCs/>
          <w:sz w:val="24"/>
          <w:szCs w:val="24"/>
          <w:highlight w:val="none"/>
        </w:rPr>
      </w:pPr>
      <w:r>
        <w:rPr>
          <w:rFonts w:hint="eastAsia" w:ascii="宋体" w:hAnsi="宋体" w:eastAsia="宋体" w:cs="宋体"/>
          <w:b/>
          <w:bCs/>
          <w:sz w:val="28"/>
          <w:szCs w:val="28"/>
          <w:highlight w:val="none"/>
        </w:rPr>
        <w:t>安全生产协议书</w:t>
      </w:r>
    </w:p>
    <w:p w14:paraId="2068E893">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发包人：</w:t>
      </w:r>
      <w:r>
        <w:rPr>
          <w:rFonts w:hint="eastAsia" w:ascii="宋体" w:hAnsi="宋体" w:eastAsia="宋体" w:cs="宋体"/>
          <w:kern w:val="0"/>
          <w:sz w:val="24"/>
          <w:szCs w:val="24"/>
          <w:highlight w:val="none"/>
          <w:u w:val="single"/>
          <w:lang w:eastAsia="zh-CN"/>
        </w:rPr>
        <w:t>佛山市南海区狮山镇下柏社区下柏经济联合社</w:t>
      </w:r>
    </w:p>
    <w:p w14:paraId="7C51B4AA">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w:t>
      </w:r>
      <w:r>
        <w:rPr>
          <w:rFonts w:hint="eastAsia" w:ascii="宋体" w:hAnsi="宋体" w:eastAsia="宋体" w:cs="宋体"/>
          <w:kern w:val="0"/>
          <w:sz w:val="24"/>
          <w:szCs w:val="24"/>
          <w:highlight w:val="none"/>
          <w:u w:val="single"/>
        </w:rPr>
        <w:t xml:space="preserve">                            </w:t>
      </w:r>
    </w:p>
    <w:p w14:paraId="7EE12C6C">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为加强建设工程安全管理，预防和减少生产安全事故，保障从业人员生命和财产安全，明确发、承包双方安全责任，依据《中华人民共和国安全生产法》、《中华人民共和国建筑法》、《建设工程安全生产管理</w:t>
      </w:r>
      <w:r>
        <w:rPr>
          <w:sz w:val="24"/>
          <w:szCs w:val="24"/>
          <w:highlight w:val="none"/>
        </w:rPr>
        <w:fldChar w:fldCharType="begin"/>
      </w:r>
      <w:r>
        <w:rPr>
          <w:sz w:val="24"/>
          <w:szCs w:val="24"/>
          <w:highlight w:val="none"/>
        </w:rPr>
        <w:instrText xml:space="preserve"> HYPERLINK "http://www.xuexila.com/fanwen/tiaoli/" \t "_blank" </w:instrText>
      </w:r>
      <w:r>
        <w:rPr>
          <w:sz w:val="24"/>
          <w:szCs w:val="24"/>
          <w:highlight w:val="none"/>
        </w:rPr>
        <w:fldChar w:fldCharType="separate"/>
      </w:r>
      <w:r>
        <w:rPr>
          <w:rFonts w:hint="eastAsia" w:ascii="宋体" w:hAnsi="宋体" w:eastAsia="宋体" w:cs="宋体"/>
          <w:kern w:val="0"/>
          <w:sz w:val="24"/>
          <w:szCs w:val="24"/>
          <w:highlight w:val="none"/>
        </w:rPr>
        <w:t>条例</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》等法律、法规规定，经双方协商签订本协议。</w:t>
      </w:r>
    </w:p>
    <w:p w14:paraId="73C2ECC2">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工程名称：</w:t>
      </w:r>
      <w:r>
        <w:rPr>
          <w:rFonts w:hint="eastAsia" w:ascii="宋体" w:hAnsi="宋体" w:eastAsia="宋体" w:cs="宋体"/>
          <w:kern w:val="0"/>
          <w:sz w:val="24"/>
          <w:szCs w:val="24"/>
          <w:highlight w:val="none"/>
          <w:lang w:eastAsia="zh-CN"/>
        </w:rPr>
        <w:t>狮山镇下柏社区本德黄公祠修缮工程</w:t>
      </w:r>
    </w:p>
    <w:p w14:paraId="57F62A21">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工程地址：</w:t>
      </w:r>
      <w:r>
        <w:rPr>
          <w:rFonts w:hint="eastAsia" w:ascii="宋体" w:hAnsi="宋体" w:eastAsia="宋体" w:cs="宋体"/>
          <w:kern w:val="0"/>
          <w:sz w:val="24"/>
          <w:szCs w:val="24"/>
          <w:highlight w:val="none"/>
          <w:lang w:eastAsia="zh-CN"/>
        </w:rPr>
        <w:t>佛山市南海区狮山镇下柏社区东区村</w:t>
      </w:r>
    </w:p>
    <w:p w14:paraId="69443A8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协议期限：同本工程《施工合同》。</w:t>
      </w:r>
    </w:p>
    <w:p w14:paraId="3BB82230">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一、发包人的安全责任 ：</w:t>
      </w:r>
    </w:p>
    <w:p w14:paraId="4A05B0D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1、发包人不得对勘察、设计、施工等单位提出不符合建设工程安全生产法律、法规和强制性标准规定的要求，不得压缩合同约定的工期。</w:t>
      </w:r>
    </w:p>
    <w:p w14:paraId="32C5C7C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2、发包人不得明示或者暗示承包人购买、租赁、使用不符合安全施工要求的安全防护用具、机械设备、施工机具及配件、</w:t>
      </w:r>
      <w:r>
        <w:rPr>
          <w:sz w:val="24"/>
          <w:szCs w:val="24"/>
          <w:highlight w:val="none"/>
        </w:rPr>
        <w:fldChar w:fldCharType="begin"/>
      </w:r>
      <w:r>
        <w:rPr>
          <w:sz w:val="24"/>
          <w:szCs w:val="24"/>
          <w:highlight w:val="none"/>
        </w:rPr>
        <w:instrText xml:space="preserve"> HYPERLINK "http://www.xuexila.com/shenghuo/anquan/xiaofang/" \t "_blank" </w:instrText>
      </w:r>
      <w:r>
        <w:rPr>
          <w:sz w:val="24"/>
          <w:szCs w:val="24"/>
          <w:highlight w:val="none"/>
        </w:rPr>
        <w:fldChar w:fldCharType="separate"/>
      </w:r>
      <w:r>
        <w:rPr>
          <w:rFonts w:hint="eastAsia" w:ascii="宋体" w:hAnsi="宋体" w:eastAsia="宋体" w:cs="宋体"/>
          <w:kern w:val="0"/>
          <w:sz w:val="24"/>
          <w:szCs w:val="24"/>
          <w:highlight w:val="none"/>
        </w:rPr>
        <w:t>消防</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设施和器材。</w:t>
      </w:r>
    </w:p>
    <w:p w14:paraId="4C46B4CC">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3、工程项目开工前，发包人必须对承包人安全资格和安全保证条件进行审查，合格后方可施工。</w:t>
      </w:r>
    </w:p>
    <w:p w14:paraId="7ECFE848">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4、开工前发包人必须对承包人项目负责人等进行全面的安全技术及文明施工交底。</w:t>
      </w:r>
    </w:p>
    <w:p w14:paraId="28B59240">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5、不定期检查施工现场，对承包人在施工中违反安全生产规定的行为予以制止和纠正，必要时发出书面《整改</w:t>
      </w:r>
      <w:r>
        <w:rPr>
          <w:sz w:val="24"/>
          <w:szCs w:val="24"/>
          <w:highlight w:val="none"/>
        </w:rPr>
        <w:fldChar w:fldCharType="begin"/>
      </w:r>
      <w:r>
        <w:rPr>
          <w:sz w:val="24"/>
          <w:szCs w:val="24"/>
          <w:highlight w:val="none"/>
        </w:rPr>
        <w:instrText xml:space="preserve"> HYPERLINK "http://www.xuexila.com/fanwen/tongzhishu/" \t "_blank" </w:instrText>
      </w:r>
      <w:r>
        <w:rPr>
          <w:sz w:val="24"/>
          <w:szCs w:val="24"/>
          <w:highlight w:val="none"/>
        </w:rPr>
        <w:fldChar w:fldCharType="separate"/>
      </w:r>
      <w:r>
        <w:rPr>
          <w:rFonts w:hint="eastAsia" w:ascii="宋体" w:hAnsi="宋体" w:eastAsia="宋体" w:cs="宋体"/>
          <w:kern w:val="0"/>
          <w:sz w:val="24"/>
          <w:szCs w:val="24"/>
          <w:highlight w:val="none"/>
        </w:rPr>
        <w:t>通知书</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》，对严重违章的行为可令其停工整改。</w:t>
      </w:r>
    </w:p>
    <w:p w14:paraId="4F41E765">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二、承包人的安全责任：</w:t>
      </w:r>
    </w:p>
    <w:p w14:paraId="42A793F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1、承包人应当依法取得相应等级的资质证书，并在其资质等级许可的范围内承揽工程。</w:t>
      </w:r>
    </w:p>
    <w:p w14:paraId="6001110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2、承包人主要负责人依法对本单位的安全生产工作全面负责。</w:t>
      </w:r>
    </w:p>
    <w:p w14:paraId="3EF506F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承包人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w:t>
      </w:r>
      <w:r>
        <w:rPr>
          <w:sz w:val="24"/>
          <w:szCs w:val="24"/>
          <w:highlight w:val="none"/>
        </w:rPr>
        <w:fldChar w:fldCharType="begin"/>
      </w:r>
      <w:r>
        <w:rPr>
          <w:sz w:val="24"/>
          <w:szCs w:val="24"/>
          <w:highlight w:val="none"/>
        </w:rPr>
        <w:instrText xml:space="preserve"> HYPERLINK "http://www.xuexila.com/fanwen/baogao/" \t "_blank" </w:instrText>
      </w:r>
      <w:r>
        <w:rPr>
          <w:sz w:val="24"/>
          <w:szCs w:val="24"/>
          <w:highlight w:val="none"/>
        </w:rPr>
        <w:fldChar w:fldCharType="separate"/>
      </w:r>
      <w:r>
        <w:rPr>
          <w:rFonts w:hint="eastAsia" w:ascii="宋体" w:hAnsi="宋体" w:eastAsia="宋体" w:cs="宋体"/>
          <w:kern w:val="0"/>
          <w:sz w:val="24"/>
          <w:szCs w:val="24"/>
          <w:highlight w:val="none"/>
        </w:rPr>
        <w:t>报告</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生产安全事故。</w:t>
      </w:r>
    </w:p>
    <w:p w14:paraId="6228AEF2">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3、承包人必须贯彻执行国家、行业及一拖公司有关安全、文明施工的各项规章制度。 严禁使用未成年人和有职业禁忌的人员进行施工作业。</w:t>
      </w:r>
    </w:p>
    <w:p w14:paraId="14AAC5FC">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4、承包人的特种作业人员，必须按照国家有关规定经过专门的安全作业培训，并取得特种作业操作资格证书后，方可上岗作业。</w:t>
      </w:r>
    </w:p>
    <w:p w14:paraId="5CDE5B8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5、建设工程施工前，承包人负责项目管理的技术人员应当对有关安全施工的技术要求向施工作业班组、作业人员作出详细说明，并由双方签字确认。</w:t>
      </w:r>
    </w:p>
    <w:p w14:paraId="2D5D9F9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6、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0A0AFF65">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施工现场暂时停止施工的，承包人应当做好现场防护。</w:t>
      </w:r>
    </w:p>
    <w:p w14:paraId="059D770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7、承包人应当将施工现场的办公、生活区与作业区分开设置，并保持安全距离;办公、生活区的</w:t>
      </w:r>
      <w:r>
        <w:rPr>
          <w:sz w:val="24"/>
          <w:szCs w:val="24"/>
          <w:highlight w:val="none"/>
        </w:rPr>
        <w:fldChar w:fldCharType="begin"/>
      </w:r>
      <w:r>
        <w:rPr>
          <w:sz w:val="24"/>
          <w:szCs w:val="24"/>
          <w:highlight w:val="none"/>
        </w:rPr>
        <w:instrText xml:space="preserve"> HYPERLINK "http://www.xuexila.com/chuangye/kaidian/xuanzhi/" \t "_blank" </w:instrText>
      </w:r>
      <w:r>
        <w:rPr>
          <w:sz w:val="24"/>
          <w:szCs w:val="24"/>
          <w:highlight w:val="none"/>
        </w:rPr>
        <w:fldChar w:fldCharType="separate"/>
      </w:r>
      <w:r>
        <w:rPr>
          <w:rFonts w:hint="eastAsia" w:ascii="宋体" w:hAnsi="宋体" w:eastAsia="宋体" w:cs="宋体"/>
          <w:kern w:val="0"/>
          <w:sz w:val="24"/>
          <w:szCs w:val="24"/>
          <w:highlight w:val="none"/>
        </w:rPr>
        <w:t>选址</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应当符合安全性要求。职工的膳食、饮水、休息场所等应当符合卫生标准。承包人不得在尚未竣工的建筑物内设置员工集体宿舍。</w:t>
      </w:r>
    </w:p>
    <w:p w14:paraId="13880B39">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8、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0971238D">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9、承包人应当向作业人员提供安全防护用具和安全防护服装，并书面告知危险岗位的操作规程和违章操作的危害。</w:t>
      </w:r>
    </w:p>
    <w:p w14:paraId="5337BEAD">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10、作业人员应当遵守安全施工的强制性标准、规章制度和操作规程，正确使用安全防护用具、机械设备等。</w:t>
      </w:r>
    </w:p>
    <w:p w14:paraId="396FA802">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11、承包人采购、租赁的安全防护用具、机械设备、施工机具及配件，应当具有生产(制造)许可证、产品合格证，并在进入施工现场前进行查验并配专人管理。</w:t>
      </w:r>
    </w:p>
    <w:p w14:paraId="32B47817">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12、承包人在使用施工起重机械和整体提升脚手架、模板等自升式架设设施前，应当组织有关单位进行验收，验收合格后方可使用。</w:t>
      </w:r>
    </w:p>
    <w:p w14:paraId="3E36B58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13、作业人员进入新的岗位或者新的施工现场前，应当接受安全生产教育培训。未经教育培训或者教育培训考核不合格的人员，不得上岗作业。</w:t>
      </w:r>
    </w:p>
    <w:p w14:paraId="10A4360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14、承包人应当为施工现场从事危险作业的人员办理意外伤害保险。</w:t>
      </w:r>
    </w:p>
    <w:p w14:paraId="12922213">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15、承包人应自觉接受发包人安全部门的监督和指导。对发包人安全部门提出的安全整改要求必须及时整改。施工过程中一旦发生人身事故或危及生产运行的不安全情况，必须立即报告发包人安全部门。</w:t>
      </w:r>
    </w:p>
    <w:p w14:paraId="3A8D4631">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16、承包人应对工作地段采取的安全技术措施、工作班人员状态以及施工中的安全责任负责;如因承包方采取的安全措施不当、违反有关安全操作规程、规定及本协议所列安全事项而造成的一切事故或对第三方造成损失的，均由承包人承担所造成的经济损失及法律责任。</w:t>
      </w:r>
    </w:p>
    <w:p w14:paraId="45A6186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三、施工现场安全由建筑施工企业负责。建设工程实行施工总承包的，由总承包单位对施工现场的安全生产负总责。分包单位向总承包单位负责，服从总承包单位对施工现场的安全生产管理。承包人必须依法加强对建筑安全生产的管理，执行安全生产责任制度，采取有效措施，防止伤亡和其他安全生产事故的发生。施工中发生事故时，承包人应当采取紧急措施减少人员伤亡和事故损失，并按照国家有关规定及时向有关部门报告。</w:t>
      </w:r>
    </w:p>
    <w:p w14:paraId="358DC7D4">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四、</w:t>
      </w:r>
      <w:r>
        <w:rPr>
          <w:rFonts w:hint="eastAsia" w:ascii="宋体" w:hAnsi="宋体" w:eastAsia="宋体" w:cs="宋体"/>
          <w:bCs/>
          <w:kern w:val="0"/>
          <w:sz w:val="24"/>
          <w:szCs w:val="24"/>
          <w:highlight w:val="none"/>
        </w:rPr>
        <w:t>本合同一式</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份，均具有同等法律效力，发包人执</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份，承包人执</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份</w:t>
      </w:r>
      <w:r>
        <w:rPr>
          <w:rFonts w:hint="eastAsia" w:ascii="宋体" w:hAnsi="宋体" w:eastAsia="宋体" w:cs="宋体"/>
          <w:kern w:val="0"/>
          <w:sz w:val="24"/>
          <w:szCs w:val="24"/>
          <w:highlight w:val="none"/>
        </w:rPr>
        <w:t>，与工程施工合同同时签署、同时有效。</w:t>
      </w:r>
    </w:p>
    <w:p w14:paraId="54B47207">
      <w:pPr>
        <w:keepNext w:val="0"/>
        <w:keepLines w:val="0"/>
        <w:pageBreakBefore w:val="0"/>
        <w:widowControl/>
        <w:kinsoku/>
        <w:wordWrap/>
        <w:overflowPunct/>
        <w:topLinePunct w:val="0"/>
        <w:autoSpaceDE/>
        <w:autoSpaceDN/>
        <w:bidi w:val="0"/>
        <w:adjustRightInd/>
        <w:snapToGrid/>
        <w:spacing w:line="440" w:lineRule="exact"/>
        <w:ind w:right="300"/>
        <w:jc w:val="right"/>
        <w:textAlignment w:val="auto"/>
        <w:rPr>
          <w:rFonts w:ascii="宋体" w:hAnsi="宋体" w:eastAsia="宋体" w:cs="宋体"/>
          <w:kern w:val="0"/>
          <w:sz w:val="24"/>
          <w:szCs w:val="24"/>
          <w:highlight w:val="none"/>
        </w:rPr>
      </w:pPr>
    </w:p>
    <w:p w14:paraId="2585D445">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发包人：________(盖章)                   承包人：________(盖章)</w:t>
      </w:r>
    </w:p>
    <w:p w14:paraId="5C76D399">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法定代表人：________                    法定代表人： ________</w:t>
      </w:r>
    </w:p>
    <w:p w14:paraId="68D8A787">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委托代理人：________                    委托代理人：________</w:t>
      </w:r>
    </w:p>
    <w:p w14:paraId="11C949FF">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____年____月____日                      ____年____月____日</w:t>
      </w:r>
    </w:p>
    <w:p w14:paraId="4BE88D81">
      <w:pPr>
        <w:rPr>
          <w:rFonts w:ascii="Times New Roman" w:hAnsi="Times New Roman" w:eastAsia="宋体" w:cs="Times New Roman"/>
          <w:szCs w:val="24"/>
          <w:highlight w:val="none"/>
        </w:rPr>
      </w:pPr>
    </w:p>
    <w:p w14:paraId="15B07B56">
      <w:pPr>
        <w:rPr>
          <w:rFonts w:ascii="Times New Roman" w:hAnsi="Times New Roman" w:eastAsia="宋体" w:cs="Times New Roman"/>
          <w:sz w:val="20"/>
          <w:szCs w:val="24"/>
          <w:highlight w:val="none"/>
        </w:rPr>
      </w:pPr>
      <w:r>
        <w:rPr>
          <w:rFonts w:hint="eastAsia" w:ascii="Times New Roman" w:hAnsi="Times New Roman" w:eastAsia="宋体" w:cs="Times New Roman"/>
          <w:sz w:val="20"/>
          <w:szCs w:val="24"/>
          <w:highlight w:val="none"/>
        </w:rPr>
        <w:t xml:space="preserve"> </w:t>
      </w:r>
    </w:p>
    <w:p w14:paraId="743AE70B">
      <w:pPr>
        <w:rPr>
          <w:rFonts w:ascii="Calibri" w:hAnsi="Calibri" w:eastAsia="宋体" w:cs="Times New Roman"/>
          <w:sz w:val="20"/>
          <w:highlight w:val="none"/>
        </w:rPr>
      </w:pPr>
      <w:r>
        <w:rPr>
          <w:rFonts w:hint="eastAsia" w:ascii="Calibri" w:hAnsi="Calibri" w:eastAsia="宋体" w:cs="Times New Roman"/>
          <w:sz w:val="20"/>
          <w:highlight w:val="none"/>
        </w:rPr>
        <w:t xml:space="preserve"> </w:t>
      </w:r>
      <w:bookmarkEnd w:id="111"/>
    </w:p>
    <w:p w14:paraId="3232344F">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51E5CC54">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5305C569">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5C0348DF">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47C13979">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05C6A833">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F5FF09F">
      <w:pPr>
        <w:kinsoku w:val="0"/>
        <w:overflowPunct w:val="0"/>
        <w:autoSpaceDE w:val="0"/>
        <w:autoSpaceDN w:val="0"/>
        <w:adjustRightInd w:val="0"/>
        <w:spacing w:before="53"/>
        <w:ind w:left="850" w:right="854" w:firstLine="657"/>
        <w:jc w:val="center"/>
        <w:outlineLvl w:val="0"/>
        <w:rPr>
          <w:rFonts w:ascii="宋体" w:hAnsi="Times New Roman" w:eastAsia="宋体" w:cs="宋体"/>
          <w:b/>
          <w:bCs/>
          <w:kern w:val="0"/>
          <w:sz w:val="37"/>
          <w:szCs w:val="37"/>
          <w:highlight w:val="none"/>
        </w:rPr>
        <w:sectPr>
          <w:pgSz w:w="11900" w:h="16840"/>
          <w:pgMar w:top="1134" w:right="1417" w:bottom="1134" w:left="1417" w:header="0" w:footer="612" w:gutter="0"/>
          <w:pgBorders>
            <w:top w:val="none" w:sz="0" w:space="0"/>
            <w:left w:val="none" w:sz="0" w:space="0"/>
            <w:bottom w:val="none" w:sz="0" w:space="0"/>
            <w:right w:val="none" w:sz="0" w:space="0"/>
          </w:pgBorders>
          <w:cols w:space="0" w:num="1"/>
          <w:rtlGutter w:val="0"/>
          <w:docGrid w:linePitch="0" w:charSpace="0"/>
        </w:sectPr>
      </w:pPr>
    </w:p>
    <w:p w14:paraId="5681C761">
      <w:pPr>
        <w:kinsoku w:val="0"/>
        <w:overflowPunct w:val="0"/>
        <w:autoSpaceDE w:val="0"/>
        <w:autoSpaceDN w:val="0"/>
        <w:adjustRightInd w:val="0"/>
        <w:spacing w:before="53"/>
        <w:ind w:left="850" w:right="854"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第五部分</w:t>
      </w:r>
      <w:r>
        <w:rPr>
          <w:rFonts w:ascii="宋体" w:hAnsi="Times New Roman" w:eastAsia="宋体" w:cs="宋体"/>
          <w:b/>
          <w:bCs/>
          <w:kern w:val="0"/>
          <w:sz w:val="37"/>
          <w:szCs w:val="37"/>
          <w:highlight w:val="none"/>
        </w:rPr>
        <w:t xml:space="preserve"> </w:t>
      </w:r>
      <w:r>
        <w:rPr>
          <w:rFonts w:hint="eastAsia" w:ascii="宋体" w:hAnsi="Times New Roman" w:eastAsia="宋体" w:cs="宋体"/>
          <w:b/>
          <w:bCs/>
          <w:kern w:val="0"/>
          <w:sz w:val="37"/>
          <w:szCs w:val="37"/>
          <w:highlight w:val="none"/>
        </w:rPr>
        <w:t>投标文件格式</w:t>
      </w:r>
    </w:p>
    <w:p w14:paraId="54CB9CEC">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28A3603">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36A63AE5">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7D9A5CE">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137326A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F7478E8">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A2169AF">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A03D073">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ECAE534">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C4FB60D">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2F4717F">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5F13CD0">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0B2C45B">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1AB06ED4">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34144C4">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3B6AE59">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382F986E">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2DB6C24B">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41713FB">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89B950A">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6CE0D8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B57AF0D">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3D60D7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FDBEC5A">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3ABDEFA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1E9DF85D">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08D2BEB">
      <w:pPr>
        <w:ind w:firstLine="657"/>
        <w:jc w:val="left"/>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br w:type="page"/>
      </w:r>
    </w:p>
    <w:p w14:paraId="66E7ADD5">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DB3FE8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5A1A2EA">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61A4402">
      <w:pPr>
        <w:kinsoku w:val="0"/>
        <w:overflowPunct w:val="0"/>
        <w:autoSpaceDE w:val="0"/>
        <w:autoSpaceDN w:val="0"/>
        <w:adjustRightInd w:val="0"/>
        <w:spacing w:before="27"/>
        <w:ind w:left="850" w:right="856" w:firstLine="1"/>
        <w:jc w:val="center"/>
        <w:rPr>
          <w:rFonts w:hint="eastAsia" w:ascii="宋体" w:hAnsi="Times New Roman" w:eastAsia="宋体" w:cs="宋体"/>
          <w:b/>
          <w:bCs/>
          <w:kern w:val="0"/>
          <w:sz w:val="48"/>
          <w:szCs w:val="48"/>
          <w:highlight w:val="none"/>
          <w:lang w:eastAsia="zh-CN"/>
        </w:rPr>
      </w:pPr>
      <w:r>
        <w:rPr>
          <w:rFonts w:hint="eastAsia" w:ascii="宋体" w:hAnsi="Times New Roman" w:eastAsia="宋体" w:cs="宋体"/>
          <w:b/>
          <w:bCs/>
          <w:kern w:val="0"/>
          <w:sz w:val="48"/>
          <w:szCs w:val="48"/>
          <w:highlight w:val="none"/>
          <w:lang w:eastAsia="zh-CN"/>
        </w:rPr>
        <w:t>狮山镇下柏社区本德黄公祠修缮工程</w:t>
      </w:r>
    </w:p>
    <w:p w14:paraId="524CD030">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16808A6">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2EE6187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投标文件</w:t>
      </w:r>
    </w:p>
    <w:p w14:paraId="545E974D">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3A3785BA">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36B581E4">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544A377B">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77BD00EC">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426D9109">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3C858555">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5490EF56">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4901430F">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1A777C2A">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1959B252">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0EF30961">
      <w:pPr>
        <w:kinsoku w:val="0"/>
        <w:overflowPunct w:val="0"/>
        <w:autoSpaceDE w:val="0"/>
        <w:autoSpaceDN w:val="0"/>
        <w:adjustRightInd w:val="0"/>
        <w:spacing w:before="5"/>
        <w:ind w:firstLine="426"/>
        <w:jc w:val="left"/>
        <w:rPr>
          <w:rFonts w:ascii="宋体" w:hAnsi="Times New Roman" w:eastAsia="宋体" w:cs="宋体"/>
          <w:b/>
          <w:bCs/>
          <w:kern w:val="0"/>
          <w:sz w:val="24"/>
          <w:szCs w:val="24"/>
          <w:highlight w:val="none"/>
        </w:rPr>
      </w:pPr>
    </w:p>
    <w:p w14:paraId="649B73B4">
      <w:pPr>
        <w:jc w:val="center"/>
        <w:rPr>
          <w:rFonts w:hint="eastAsia" w:eastAsiaTheme="minorEastAsia"/>
          <w:sz w:val="24"/>
          <w:szCs w:val="24"/>
          <w:highlight w:val="none"/>
          <w:lang w:eastAsia="zh-CN"/>
        </w:rPr>
      </w:pPr>
      <w:r>
        <w:rPr>
          <w:rFonts w:hint="eastAsia"/>
          <w:sz w:val="24"/>
          <w:szCs w:val="24"/>
          <w:highlight w:val="none"/>
        </w:rPr>
        <w:t>招标项目名称：</w:t>
      </w:r>
      <w:r>
        <w:rPr>
          <w:rFonts w:hint="eastAsia"/>
          <w:sz w:val="24"/>
          <w:szCs w:val="24"/>
          <w:highlight w:val="none"/>
          <w:lang w:eastAsia="zh-CN"/>
        </w:rPr>
        <w:t>狮山镇下柏社区本德黄公祠修缮工程</w:t>
      </w:r>
    </w:p>
    <w:p w14:paraId="59116FA2">
      <w:pPr>
        <w:jc w:val="center"/>
        <w:rPr>
          <w:sz w:val="24"/>
          <w:szCs w:val="24"/>
          <w:highlight w:val="none"/>
        </w:rPr>
      </w:pPr>
    </w:p>
    <w:p w14:paraId="4F6F1E9D">
      <w:pPr>
        <w:rPr>
          <w:sz w:val="24"/>
          <w:szCs w:val="24"/>
          <w:highlight w:val="none"/>
        </w:rPr>
      </w:pPr>
    </w:p>
    <w:p w14:paraId="4DA56C09">
      <w:pPr>
        <w:kinsoku w:val="0"/>
        <w:overflowPunct w:val="0"/>
        <w:autoSpaceDE w:val="0"/>
        <w:autoSpaceDN w:val="0"/>
        <w:adjustRightInd w:val="0"/>
        <w:ind w:firstLine="426"/>
        <w:jc w:val="left"/>
        <w:rPr>
          <w:rFonts w:ascii="Arial" w:hAnsi="Arial" w:cs="Arial"/>
          <w:b/>
          <w:bCs/>
          <w:kern w:val="0"/>
          <w:sz w:val="24"/>
          <w:szCs w:val="24"/>
          <w:highlight w:val="none"/>
        </w:rPr>
      </w:pPr>
    </w:p>
    <w:p w14:paraId="5DA5E6C8">
      <w:pPr>
        <w:kinsoku w:val="0"/>
        <w:overflowPunct w:val="0"/>
        <w:autoSpaceDE w:val="0"/>
        <w:autoSpaceDN w:val="0"/>
        <w:adjustRightInd w:val="0"/>
        <w:ind w:firstLine="426"/>
        <w:jc w:val="left"/>
        <w:rPr>
          <w:rFonts w:ascii="Arial" w:hAnsi="Arial" w:cs="Arial"/>
          <w:b/>
          <w:bCs/>
          <w:kern w:val="0"/>
          <w:sz w:val="24"/>
          <w:szCs w:val="24"/>
          <w:highlight w:val="none"/>
        </w:rPr>
      </w:pPr>
    </w:p>
    <w:p w14:paraId="19541267">
      <w:pPr>
        <w:kinsoku w:val="0"/>
        <w:overflowPunct w:val="0"/>
        <w:autoSpaceDE w:val="0"/>
        <w:autoSpaceDN w:val="0"/>
        <w:adjustRightInd w:val="0"/>
        <w:ind w:firstLine="426"/>
        <w:jc w:val="left"/>
        <w:rPr>
          <w:rFonts w:ascii="Arial" w:hAnsi="Arial" w:cs="Arial"/>
          <w:b/>
          <w:bCs/>
          <w:kern w:val="0"/>
          <w:sz w:val="24"/>
          <w:szCs w:val="24"/>
          <w:highlight w:val="none"/>
        </w:rPr>
      </w:pPr>
    </w:p>
    <w:p w14:paraId="1FBD2163">
      <w:pPr>
        <w:kinsoku w:val="0"/>
        <w:overflowPunct w:val="0"/>
        <w:autoSpaceDE w:val="0"/>
        <w:autoSpaceDN w:val="0"/>
        <w:adjustRightInd w:val="0"/>
        <w:ind w:firstLine="426"/>
        <w:jc w:val="left"/>
        <w:rPr>
          <w:rFonts w:ascii="Arial" w:hAnsi="Arial" w:cs="Arial"/>
          <w:b/>
          <w:bCs/>
          <w:kern w:val="0"/>
          <w:sz w:val="24"/>
          <w:szCs w:val="24"/>
          <w:highlight w:val="none"/>
        </w:rPr>
      </w:pPr>
    </w:p>
    <w:p w14:paraId="6AC6216E">
      <w:pPr>
        <w:kinsoku w:val="0"/>
        <w:overflowPunct w:val="0"/>
        <w:autoSpaceDE w:val="0"/>
        <w:autoSpaceDN w:val="0"/>
        <w:adjustRightInd w:val="0"/>
        <w:ind w:firstLine="426"/>
        <w:jc w:val="left"/>
        <w:rPr>
          <w:rFonts w:ascii="Arial" w:hAnsi="Arial" w:cs="Arial"/>
          <w:b/>
          <w:bCs/>
          <w:kern w:val="0"/>
          <w:sz w:val="24"/>
          <w:szCs w:val="24"/>
          <w:highlight w:val="none"/>
        </w:rPr>
      </w:pPr>
    </w:p>
    <w:p w14:paraId="09CA0224">
      <w:pPr>
        <w:kinsoku w:val="0"/>
        <w:overflowPunct w:val="0"/>
        <w:autoSpaceDE w:val="0"/>
        <w:autoSpaceDN w:val="0"/>
        <w:adjustRightInd w:val="0"/>
        <w:ind w:firstLine="426"/>
        <w:jc w:val="left"/>
        <w:rPr>
          <w:rFonts w:ascii="Arial" w:hAnsi="Arial" w:cs="Arial"/>
          <w:b/>
          <w:bCs/>
          <w:kern w:val="0"/>
          <w:sz w:val="24"/>
          <w:szCs w:val="24"/>
          <w:highlight w:val="none"/>
        </w:rPr>
      </w:pPr>
    </w:p>
    <w:p w14:paraId="5C12CC26">
      <w:pPr>
        <w:kinsoku w:val="0"/>
        <w:overflowPunct w:val="0"/>
        <w:autoSpaceDE w:val="0"/>
        <w:autoSpaceDN w:val="0"/>
        <w:adjustRightInd w:val="0"/>
        <w:ind w:firstLine="426"/>
        <w:jc w:val="left"/>
        <w:rPr>
          <w:rFonts w:ascii="Arial" w:hAnsi="Arial" w:cs="Arial"/>
          <w:b/>
          <w:bCs/>
          <w:kern w:val="0"/>
          <w:sz w:val="24"/>
          <w:szCs w:val="24"/>
          <w:highlight w:val="none"/>
        </w:rPr>
      </w:pPr>
    </w:p>
    <w:p w14:paraId="1E101120">
      <w:pPr>
        <w:kinsoku w:val="0"/>
        <w:overflowPunct w:val="0"/>
        <w:autoSpaceDE w:val="0"/>
        <w:autoSpaceDN w:val="0"/>
        <w:adjustRightInd w:val="0"/>
        <w:ind w:firstLine="426"/>
        <w:jc w:val="left"/>
        <w:rPr>
          <w:rFonts w:ascii="Arial" w:hAnsi="Arial" w:cs="Arial"/>
          <w:b/>
          <w:bCs/>
          <w:kern w:val="0"/>
          <w:sz w:val="24"/>
          <w:szCs w:val="24"/>
          <w:highlight w:val="none"/>
        </w:rPr>
      </w:pPr>
    </w:p>
    <w:p w14:paraId="3BC91D2A">
      <w:pPr>
        <w:jc w:val="center"/>
        <w:rPr>
          <w:sz w:val="24"/>
          <w:szCs w:val="24"/>
          <w:highlight w:val="none"/>
        </w:rPr>
      </w:pPr>
    </w:p>
    <w:p w14:paraId="1B05D0A6">
      <w:pPr>
        <w:spacing w:line="360" w:lineRule="auto"/>
        <w:jc w:val="center"/>
        <w:rPr>
          <w:sz w:val="24"/>
          <w:szCs w:val="24"/>
          <w:highlight w:val="none"/>
        </w:rPr>
      </w:pPr>
      <w:r>
        <w:rPr>
          <w:rFonts w:hint="eastAsia"/>
          <w:sz w:val="24"/>
          <w:szCs w:val="24"/>
          <w:highlight w:val="none"/>
        </w:rPr>
        <w:t>投标人名称：</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（盖公章）</w:t>
      </w:r>
    </w:p>
    <w:p w14:paraId="08B6928E">
      <w:pPr>
        <w:spacing w:line="360" w:lineRule="auto"/>
        <w:jc w:val="center"/>
        <w:rPr>
          <w:sz w:val="24"/>
          <w:szCs w:val="24"/>
          <w:highlight w:val="none"/>
        </w:rPr>
      </w:pPr>
      <w:r>
        <w:rPr>
          <w:rFonts w:hint="eastAsia"/>
          <w:sz w:val="24"/>
          <w:szCs w:val="24"/>
          <w:highlight w:val="none"/>
        </w:rPr>
        <w:t>法定代表人（或授权代表）：</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（签字）</w:t>
      </w:r>
    </w:p>
    <w:p w14:paraId="2741F516">
      <w:pPr>
        <w:spacing w:line="360" w:lineRule="auto"/>
        <w:jc w:val="center"/>
        <w:rPr>
          <w:sz w:val="24"/>
          <w:szCs w:val="24"/>
          <w:highlight w:val="none"/>
        </w:rPr>
      </w:pPr>
      <w:r>
        <w:rPr>
          <w:rFonts w:hint="eastAsia"/>
          <w:sz w:val="24"/>
          <w:szCs w:val="24"/>
          <w:highlight w:val="none"/>
        </w:rPr>
        <w:t>日期：</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年</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月</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日</w:t>
      </w:r>
    </w:p>
    <w:p w14:paraId="48440425">
      <w:pPr>
        <w:kinsoku w:val="0"/>
        <w:overflowPunct w:val="0"/>
        <w:autoSpaceDE w:val="0"/>
        <w:autoSpaceDN w:val="0"/>
        <w:adjustRightInd w:val="0"/>
        <w:spacing w:before="10"/>
        <w:ind w:firstLine="426"/>
        <w:jc w:val="left"/>
        <w:rPr>
          <w:rFonts w:ascii="宋体" w:hAnsi="Times New Roman" w:eastAsia="宋体" w:cs="宋体"/>
          <w:b/>
          <w:bCs/>
          <w:kern w:val="0"/>
          <w:sz w:val="24"/>
          <w:szCs w:val="24"/>
          <w:highlight w:val="none"/>
        </w:rPr>
      </w:pPr>
    </w:p>
    <w:p w14:paraId="743EFBA2">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6952F642">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47DD0D6F">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02582E12">
      <w:pPr>
        <w:kinsoku w:val="0"/>
        <w:overflowPunct w:val="0"/>
        <w:autoSpaceDE w:val="0"/>
        <w:autoSpaceDN w:val="0"/>
        <w:adjustRightInd w:val="0"/>
        <w:ind w:left="850" w:right="854" w:firstLine="569"/>
        <w:jc w:val="center"/>
        <w:rPr>
          <w:rFonts w:ascii="宋体" w:hAnsi="Times New Roman" w:eastAsia="宋体" w:cs="宋体"/>
          <w:b/>
          <w:bCs/>
          <w:kern w:val="0"/>
          <w:sz w:val="32"/>
          <w:szCs w:val="32"/>
          <w:highlight w:val="none"/>
        </w:rPr>
        <w:sectPr>
          <w:pgSz w:w="11900" w:h="16840"/>
          <w:pgMar w:top="1134" w:right="1417" w:bottom="1134" w:left="1417" w:header="0" w:footer="612" w:gutter="0"/>
          <w:pgBorders>
            <w:top w:val="none" w:sz="0" w:space="0"/>
            <w:left w:val="none" w:sz="0" w:space="0"/>
            <w:bottom w:val="none" w:sz="0" w:space="0"/>
            <w:right w:val="none" w:sz="0" w:space="0"/>
          </w:pgBorders>
          <w:cols w:space="0" w:num="1"/>
          <w:rtlGutter w:val="0"/>
          <w:docGrid w:linePitch="0" w:charSpace="0"/>
        </w:sectPr>
      </w:pPr>
    </w:p>
    <w:p w14:paraId="52AE4E8C">
      <w:pPr>
        <w:kinsoku w:val="0"/>
        <w:overflowPunct w:val="0"/>
        <w:autoSpaceDE w:val="0"/>
        <w:autoSpaceDN w:val="0"/>
        <w:adjustRightInd w:val="0"/>
        <w:ind w:left="850" w:right="854" w:firstLine="569"/>
        <w:jc w:val="center"/>
        <w:rPr>
          <w:rFonts w:ascii="宋体" w:hAnsi="Times New Roman" w:eastAsia="宋体" w:cs="宋体"/>
          <w:b/>
          <w:bCs/>
          <w:kern w:val="0"/>
          <w:sz w:val="32"/>
          <w:szCs w:val="32"/>
          <w:highlight w:val="none"/>
        </w:rPr>
      </w:pPr>
      <w:r>
        <w:rPr>
          <w:rFonts w:hint="eastAsia" w:ascii="宋体" w:hAnsi="Times New Roman" w:eastAsia="宋体" w:cs="宋体"/>
          <w:b/>
          <w:bCs/>
          <w:kern w:val="0"/>
          <w:sz w:val="32"/>
          <w:szCs w:val="32"/>
          <w:highlight w:val="none"/>
        </w:rPr>
        <w:t>一、诚信投标承诺书</w:t>
      </w:r>
    </w:p>
    <w:p w14:paraId="0B80A174">
      <w:pPr>
        <w:kinsoku w:val="0"/>
        <w:overflowPunct w:val="0"/>
        <w:autoSpaceDE w:val="0"/>
        <w:autoSpaceDN w:val="0"/>
        <w:adjustRightInd w:val="0"/>
        <w:spacing w:before="10" w:line="360" w:lineRule="auto"/>
        <w:ind w:firstLine="426"/>
        <w:jc w:val="left"/>
        <w:rPr>
          <w:rFonts w:ascii="宋体" w:hAnsi="Times New Roman" w:eastAsia="宋体" w:cs="宋体"/>
          <w:b/>
          <w:bCs/>
          <w:kern w:val="0"/>
          <w:sz w:val="24"/>
          <w:szCs w:val="24"/>
          <w:highlight w:val="none"/>
        </w:rPr>
      </w:pPr>
    </w:p>
    <w:p w14:paraId="35A917D6">
      <w:pPr>
        <w:spacing w:line="360" w:lineRule="auto"/>
        <w:rPr>
          <w:sz w:val="24"/>
          <w:szCs w:val="24"/>
          <w:highlight w:val="none"/>
        </w:rPr>
      </w:pPr>
      <w:r>
        <w:rPr>
          <w:rFonts w:hint="eastAsia"/>
          <w:sz w:val="24"/>
          <w:szCs w:val="24"/>
          <w:highlight w:val="none"/>
        </w:rPr>
        <w:t>致：</w:t>
      </w:r>
      <w:r>
        <w:rPr>
          <w:rFonts w:hint="eastAsia"/>
          <w:sz w:val="24"/>
          <w:szCs w:val="24"/>
          <w:highlight w:val="none"/>
          <w:u w:val="single"/>
        </w:rPr>
        <w:t xml:space="preserve">         </w:t>
      </w:r>
      <w:r>
        <w:rPr>
          <w:sz w:val="24"/>
          <w:szCs w:val="24"/>
          <w:highlight w:val="none"/>
          <w:u w:val="single"/>
        </w:rPr>
        <w:t xml:space="preserve"> </w:t>
      </w:r>
      <w:r>
        <w:rPr>
          <w:sz w:val="24"/>
          <w:szCs w:val="24"/>
          <w:highlight w:val="none"/>
          <w:u w:val="single"/>
        </w:rPr>
        <w:tab/>
      </w:r>
    </w:p>
    <w:p w14:paraId="079E617E">
      <w:pPr>
        <w:spacing w:line="360" w:lineRule="auto"/>
        <w:ind w:firstLine="480" w:firstLineChars="200"/>
        <w:rPr>
          <w:sz w:val="24"/>
          <w:szCs w:val="24"/>
          <w:highlight w:val="none"/>
        </w:rPr>
      </w:pPr>
      <w:r>
        <w:rPr>
          <w:rFonts w:hint="eastAsia"/>
          <w:sz w:val="24"/>
          <w:szCs w:val="24"/>
          <w:highlight w:val="none"/>
        </w:rPr>
        <w:t>本人以法定代表人的身份代表本单位郑重承诺：</w:t>
      </w:r>
    </w:p>
    <w:p w14:paraId="754388B7">
      <w:pPr>
        <w:numPr>
          <w:ilvl w:val="0"/>
          <w:numId w:val="1"/>
        </w:numPr>
        <w:spacing w:line="360" w:lineRule="auto"/>
        <w:ind w:left="283" w:leftChars="135" w:firstLine="425"/>
        <w:rPr>
          <w:sz w:val="24"/>
          <w:szCs w:val="24"/>
          <w:highlight w:val="none"/>
        </w:rPr>
      </w:pPr>
      <w:r>
        <w:rPr>
          <w:rFonts w:hint="eastAsia"/>
          <w:sz w:val="24"/>
          <w:szCs w:val="24"/>
          <w:highlight w:val="none"/>
        </w:rPr>
        <w:t>本单位将遵循公开、公正和诚实信用的原则参加</w:t>
      </w:r>
      <w:r>
        <w:rPr>
          <w:sz w:val="24"/>
          <w:szCs w:val="24"/>
          <w:highlight w:val="none"/>
          <w:u w:val="single"/>
        </w:rPr>
        <w:t xml:space="preserve"> </w:t>
      </w:r>
      <w:r>
        <w:rPr>
          <w:rFonts w:hint="eastAsia"/>
          <w:sz w:val="24"/>
          <w:szCs w:val="24"/>
          <w:highlight w:val="none"/>
          <w:u w:val="single"/>
          <w:lang w:eastAsia="zh-CN"/>
        </w:rPr>
        <w:t>狮山镇下柏社区本德黄公祠修缮工程</w:t>
      </w:r>
      <w:r>
        <w:rPr>
          <w:sz w:val="24"/>
          <w:szCs w:val="24"/>
          <w:highlight w:val="none"/>
          <w:u w:val="single"/>
        </w:rPr>
        <w:t xml:space="preserve"> </w:t>
      </w:r>
      <w:r>
        <w:rPr>
          <w:rFonts w:hint="eastAsia"/>
          <w:sz w:val="24"/>
          <w:szCs w:val="24"/>
          <w:highlight w:val="none"/>
        </w:rPr>
        <w:t>施工项目的承包商选取活动。</w:t>
      </w:r>
    </w:p>
    <w:p w14:paraId="120C0BA1">
      <w:pPr>
        <w:spacing w:line="360" w:lineRule="auto"/>
        <w:ind w:left="283" w:leftChars="135" w:firstLine="425"/>
        <w:rPr>
          <w:sz w:val="24"/>
          <w:szCs w:val="24"/>
          <w:highlight w:val="none"/>
        </w:rPr>
      </w:pPr>
      <w:r>
        <w:rPr>
          <w:rFonts w:hint="eastAsia"/>
          <w:sz w:val="24"/>
          <w:szCs w:val="24"/>
          <w:highlight w:val="none"/>
        </w:rPr>
        <w:t>二、本单位所提供的一切材料都是真实、有效、合法的，没有伪（变）造或虚假成份。</w:t>
      </w:r>
    </w:p>
    <w:p w14:paraId="31407E91">
      <w:pPr>
        <w:spacing w:line="360" w:lineRule="auto"/>
        <w:ind w:left="283" w:leftChars="135" w:firstLine="425"/>
        <w:rPr>
          <w:sz w:val="24"/>
          <w:szCs w:val="24"/>
          <w:highlight w:val="none"/>
        </w:rPr>
      </w:pPr>
      <w:r>
        <w:rPr>
          <w:rFonts w:hint="eastAsia"/>
          <w:sz w:val="24"/>
          <w:szCs w:val="24"/>
          <w:highlight w:val="none"/>
        </w:rPr>
        <w:t>三、本单位近三年（自招标公告发布之日上溯）没有发生围标串标、严重违约、重大工程质量问题、重大安全生产事故以及贿赂等违法违规行为。</w:t>
      </w:r>
    </w:p>
    <w:p w14:paraId="2CABADB3">
      <w:pPr>
        <w:spacing w:line="360" w:lineRule="auto"/>
        <w:ind w:left="283" w:leftChars="135" w:firstLine="425"/>
        <w:rPr>
          <w:sz w:val="24"/>
          <w:szCs w:val="24"/>
          <w:highlight w:val="none"/>
        </w:rPr>
      </w:pPr>
      <w:r>
        <w:rPr>
          <w:rFonts w:hint="eastAsia"/>
          <w:sz w:val="24"/>
          <w:szCs w:val="24"/>
          <w:highlight w:val="none"/>
        </w:rPr>
        <w:t>四、自觉维护招投标市场秩序，不以他人名义投标，不出借、转让、买卖、伪造企业或从业人员的资质证书、证照、业绩、获奖表彰等相关资信证明文件和印章，也不允许其他企业或个人以本单位名义投标。</w:t>
      </w:r>
    </w:p>
    <w:p w14:paraId="75FDA176">
      <w:pPr>
        <w:spacing w:line="360" w:lineRule="auto"/>
        <w:ind w:left="283" w:leftChars="135" w:firstLine="425"/>
        <w:rPr>
          <w:sz w:val="24"/>
          <w:szCs w:val="24"/>
          <w:highlight w:val="none"/>
        </w:rPr>
      </w:pPr>
      <w:r>
        <w:rPr>
          <w:rFonts w:hint="eastAsia"/>
          <w:sz w:val="24"/>
          <w:szCs w:val="24"/>
          <w:highlight w:val="none"/>
        </w:rPr>
        <w:t>五、依法公平竞争，不组织、不参与围标串标，不采取虚假或恶意投诉等不正当手段损害、侵犯招标人或其他投标人的正当权益。</w:t>
      </w:r>
    </w:p>
    <w:p w14:paraId="0439A097">
      <w:pPr>
        <w:spacing w:line="360" w:lineRule="auto"/>
        <w:ind w:left="283" w:leftChars="135" w:firstLine="425"/>
        <w:rPr>
          <w:sz w:val="24"/>
          <w:szCs w:val="24"/>
          <w:highlight w:val="none"/>
        </w:rPr>
      </w:pPr>
      <w:r>
        <w:rPr>
          <w:rFonts w:hint="eastAsia"/>
          <w:sz w:val="24"/>
          <w:szCs w:val="24"/>
          <w:highlight w:val="none"/>
        </w:rPr>
        <w:t>六、保证参加投标的建造师没有在其他在建工程中担任项目负责人，如相关网站载明该建造师有在建工程信息，在资格审查资料中须提交发包人出具的建造师变更手续或工程竣工验收报告。否则在项目选取时发现或选取后有投诉被查实，视为故意隐瞒事实、弄虚作假。</w:t>
      </w:r>
    </w:p>
    <w:p w14:paraId="205936F6">
      <w:pPr>
        <w:spacing w:line="360" w:lineRule="auto"/>
        <w:ind w:left="424" w:leftChars="202" w:firstLine="482" w:firstLineChars="200"/>
        <w:rPr>
          <w:rFonts w:ascii="宋体" w:hAnsi="Times New Roman" w:eastAsia="宋体" w:cs="宋体"/>
          <w:b/>
          <w:bCs/>
          <w:kern w:val="0"/>
          <w:sz w:val="24"/>
          <w:szCs w:val="24"/>
          <w:highlight w:val="none"/>
        </w:rPr>
      </w:pPr>
      <w:r>
        <w:rPr>
          <w:rFonts w:hint="eastAsia"/>
          <w:b/>
          <w:bCs/>
          <w:sz w:val="24"/>
          <w:szCs w:val="24"/>
          <w:highlight w:val="none"/>
        </w:rPr>
        <w:t>以上内容本人已仔细阅读，本单位如违反上述承诺内容，愿意接受行业主管部门按照有关规定进行的处理（处罚）。</w:t>
      </w:r>
    </w:p>
    <w:p w14:paraId="460EC95D">
      <w:pPr>
        <w:spacing w:line="360" w:lineRule="auto"/>
        <w:jc w:val="right"/>
        <w:rPr>
          <w:sz w:val="24"/>
          <w:szCs w:val="24"/>
          <w:highlight w:val="none"/>
        </w:rPr>
      </w:pPr>
    </w:p>
    <w:p w14:paraId="16312C36">
      <w:pPr>
        <w:spacing w:line="360" w:lineRule="auto"/>
        <w:jc w:val="right"/>
        <w:rPr>
          <w:sz w:val="24"/>
          <w:szCs w:val="24"/>
          <w:highlight w:val="none"/>
        </w:rPr>
      </w:pPr>
    </w:p>
    <w:p w14:paraId="5AE80E74">
      <w:pPr>
        <w:spacing w:line="360" w:lineRule="auto"/>
        <w:jc w:val="right"/>
        <w:rPr>
          <w:sz w:val="24"/>
          <w:szCs w:val="24"/>
          <w:highlight w:val="none"/>
        </w:rPr>
      </w:pPr>
      <w:r>
        <w:rPr>
          <w:rFonts w:hint="eastAsia"/>
          <w:sz w:val="24"/>
          <w:szCs w:val="24"/>
          <w:highlight w:val="none"/>
        </w:rPr>
        <w:t>投标人名称（公章）：</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p>
    <w:p w14:paraId="3623476B">
      <w:pPr>
        <w:spacing w:line="360" w:lineRule="auto"/>
        <w:jc w:val="right"/>
        <w:rPr>
          <w:sz w:val="24"/>
          <w:szCs w:val="24"/>
          <w:highlight w:val="none"/>
        </w:rPr>
      </w:pPr>
      <w:r>
        <w:rPr>
          <w:rFonts w:hint="eastAsia"/>
          <w:sz w:val="24"/>
          <w:szCs w:val="24"/>
          <w:highlight w:val="none"/>
        </w:rPr>
        <w:t>法定代表人（签字）：</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p>
    <w:p w14:paraId="4FD1CE1A">
      <w:pPr>
        <w:spacing w:line="360" w:lineRule="auto"/>
        <w:jc w:val="right"/>
        <w:rPr>
          <w:highlight w:val="none"/>
        </w:rPr>
      </w:pPr>
      <w:r>
        <w:rPr>
          <w:sz w:val="24"/>
          <w:szCs w:val="24"/>
          <w:highlight w:val="none"/>
          <w:u w:val="single"/>
        </w:rPr>
        <w:tab/>
      </w:r>
      <w:r>
        <w:rPr>
          <w:rFonts w:hint="eastAsia"/>
          <w:sz w:val="24"/>
          <w:szCs w:val="24"/>
          <w:highlight w:val="none"/>
        </w:rPr>
        <w:t>年</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729C45CC">
      <w:pPr>
        <w:spacing w:line="360" w:lineRule="auto"/>
        <w:ind w:firstLine="372"/>
        <w:rPr>
          <w:highlight w:val="none"/>
        </w:rPr>
      </w:pPr>
    </w:p>
    <w:p w14:paraId="20CC9668">
      <w:pPr>
        <w:spacing w:line="360" w:lineRule="auto"/>
        <w:ind w:firstLine="372"/>
        <w:rPr>
          <w:highlight w:val="none"/>
        </w:rPr>
        <w:sectPr>
          <w:pgSz w:w="11900" w:h="16840"/>
          <w:pgMar w:top="1134" w:right="1417" w:bottom="1134" w:left="1417" w:header="0" w:footer="612" w:gutter="0"/>
          <w:pgBorders>
            <w:top w:val="none" w:sz="0" w:space="0"/>
            <w:left w:val="none" w:sz="0" w:space="0"/>
            <w:bottom w:val="none" w:sz="0" w:space="0"/>
            <w:right w:val="none" w:sz="0" w:space="0"/>
          </w:pgBorders>
          <w:cols w:space="0" w:num="1"/>
          <w:rtlGutter w:val="0"/>
          <w:docGrid w:linePitch="0" w:charSpace="0"/>
        </w:sectPr>
      </w:pPr>
    </w:p>
    <w:p w14:paraId="258D448D">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4EB9BC58">
      <w:pPr>
        <w:kinsoku w:val="0"/>
        <w:overflowPunct w:val="0"/>
        <w:autoSpaceDE w:val="0"/>
        <w:autoSpaceDN w:val="0"/>
        <w:adjustRightInd w:val="0"/>
        <w:ind w:left="850" w:right="854" w:firstLine="569"/>
        <w:jc w:val="center"/>
        <w:rPr>
          <w:rFonts w:ascii="宋体" w:hAnsi="Times New Roman" w:eastAsia="宋体" w:cs="宋体"/>
          <w:b/>
          <w:bCs/>
          <w:kern w:val="0"/>
          <w:sz w:val="32"/>
          <w:szCs w:val="32"/>
          <w:highlight w:val="none"/>
        </w:rPr>
      </w:pPr>
      <w:r>
        <w:rPr>
          <w:rFonts w:hint="eastAsia" w:ascii="宋体" w:hAnsi="Times New Roman" w:eastAsia="宋体" w:cs="宋体"/>
          <w:b/>
          <w:bCs/>
          <w:kern w:val="0"/>
          <w:sz w:val="32"/>
          <w:szCs w:val="32"/>
          <w:highlight w:val="none"/>
        </w:rPr>
        <w:t>二、投标函及投标函附录</w:t>
      </w:r>
    </w:p>
    <w:p w14:paraId="10E76D2C">
      <w:pPr>
        <w:ind w:left="850" w:leftChars="405" w:right="842" w:rightChars="401" w:firstLine="373"/>
        <w:jc w:val="center"/>
        <w:rPr>
          <w:b/>
          <w:highlight w:val="none"/>
        </w:rPr>
      </w:pPr>
    </w:p>
    <w:p w14:paraId="5631BD88">
      <w:pPr>
        <w:ind w:left="850" w:leftChars="405" w:right="842" w:rightChars="401" w:firstLine="426"/>
        <w:jc w:val="center"/>
        <w:rPr>
          <w:b/>
          <w:sz w:val="24"/>
          <w:szCs w:val="24"/>
          <w:highlight w:val="none"/>
        </w:rPr>
      </w:pPr>
      <w:r>
        <w:rPr>
          <w:rFonts w:hint="eastAsia"/>
          <w:b/>
          <w:sz w:val="24"/>
          <w:szCs w:val="24"/>
          <w:highlight w:val="none"/>
        </w:rPr>
        <w:t>（一）投标函</w:t>
      </w:r>
    </w:p>
    <w:p w14:paraId="65F4836E">
      <w:pPr>
        <w:spacing w:line="480" w:lineRule="auto"/>
        <w:ind w:left="1245" w:leftChars="593" w:right="842" w:rightChars="401" w:firstLine="12" w:firstLineChars="5"/>
        <w:rPr>
          <w:sz w:val="24"/>
          <w:szCs w:val="24"/>
          <w:highlight w:val="none"/>
        </w:rPr>
      </w:pP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（招标人名称）：</w:t>
      </w:r>
    </w:p>
    <w:p w14:paraId="753FAE56">
      <w:pPr>
        <w:spacing w:line="480" w:lineRule="auto"/>
        <w:ind w:left="1260" w:leftChars="600" w:right="842" w:rightChars="401" w:firstLine="482" w:firstLineChars="201"/>
        <w:rPr>
          <w:sz w:val="24"/>
          <w:szCs w:val="24"/>
          <w:highlight w:val="none"/>
        </w:rPr>
      </w:pPr>
      <w:r>
        <w:rPr>
          <w:sz w:val="24"/>
          <w:szCs w:val="24"/>
          <w:highlight w:val="none"/>
        </w:rPr>
        <w:t>1</w:t>
      </w:r>
      <w:r>
        <w:rPr>
          <w:rFonts w:hint="eastAsia"/>
          <w:sz w:val="24"/>
          <w:szCs w:val="24"/>
          <w:highlight w:val="none"/>
        </w:rPr>
        <w:t>．我方已仔细研究了</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u w:val="single"/>
          <w:lang w:eastAsia="zh-CN"/>
        </w:rPr>
        <w:t>狮山镇下柏社区本德黄公祠修缮工程</w:t>
      </w:r>
      <w:r>
        <w:rPr>
          <w:sz w:val="24"/>
          <w:szCs w:val="24"/>
          <w:highlight w:val="none"/>
          <w:u w:val="single"/>
        </w:rPr>
        <w:t xml:space="preserve"> </w:t>
      </w:r>
      <w:r>
        <w:rPr>
          <w:rFonts w:hint="eastAsia"/>
          <w:sz w:val="24"/>
          <w:szCs w:val="24"/>
          <w:highlight w:val="none"/>
        </w:rPr>
        <w:t>施工项目招标文件的全部内容，愿意以人民币（大写）</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（小写）</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元的投标总报价，在招标文件规定的工期，即</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个日历天之内，按合同约定及选取文件等有关规定实施和完成承包工程，修补工程中的任何缺陷，保证工程质量达到</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验收质量等级标准，并满足招标文件中规定的相关要求。我方完全理解并接受选取文件中所规定的工程款额的确定和支付办法。</w:t>
      </w:r>
    </w:p>
    <w:p w14:paraId="62D06BC0">
      <w:pPr>
        <w:spacing w:line="480" w:lineRule="auto"/>
        <w:ind w:left="850" w:leftChars="405" w:right="842" w:rightChars="401" w:firstLine="484" w:firstLineChars="202"/>
        <w:rPr>
          <w:sz w:val="24"/>
          <w:szCs w:val="24"/>
          <w:highlight w:val="none"/>
        </w:rPr>
      </w:pPr>
      <w:r>
        <w:rPr>
          <w:sz w:val="24"/>
          <w:szCs w:val="24"/>
          <w:highlight w:val="none"/>
        </w:rPr>
        <w:t>2</w:t>
      </w:r>
      <w:r>
        <w:rPr>
          <w:rFonts w:hint="eastAsia"/>
          <w:sz w:val="24"/>
          <w:szCs w:val="24"/>
          <w:highlight w:val="none"/>
        </w:rPr>
        <w:t>．我方承诺在投标有效期（投标文件截止之日起</w:t>
      </w:r>
      <w:r>
        <w:rPr>
          <w:rFonts w:hint="eastAsia"/>
          <w:sz w:val="24"/>
          <w:szCs w:val="24"/>
          <w:highlight w:val="none"/>
          <w:u w:val="single"/>
        </w:rPr>
        <w:t>90</w:t>
      </w:r>
      <w:r>
        <w:rPr>
          <w:rFonts w:hint="eastAsia"/>
          <w:sz w:val="24"/>
          <w:szCs w:val="24"/>
          <w:highlight w:val="none"/>
        </w:rPr>
        <w:t>天）内不修改、撤销投标文件。</w:t>
      </w:r>
    </w:p>
    <w:p w14:paraId="08E6C6FC">
      <w:pPr>
        <w:spacing w:line="480" w:lineRule="auto"/>
        <w:ind w:left="850" w:leftChars="405" w:right="842" w:rightChars="401" w:firstLine="484" w:firstLineChars="202"/>
        <w:rPr>
          <w:sz w:val="24"/>
          <w:szCs w:val="24"/>
          <w:highlight w:val="none"/>
        </w:rPr>
      </w:pPr>
      <w:r>
        <w:rPr>
          <w:sz w:val="24"/>
          <w:szCs w:val="24"/>
          <w:highlight w:val="none"/>
        </w:rPr>
        <w:t>3</w:t>
      </w:r>
      <w:r>
        <w:rPr>
          <w:rFonts w:hint="eastAsia"/>
          <w:sz w:val="24"/>
          <w:szCs w:val="24"/>
          <w:highlight w:val="none"/>
        </w:rPr>
        <w:t>．如我方中标，我方承诺：</w:t>
      </w:r>
    </w:p>
    <w:p w14:paraId="6E5B0FAB">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1</w:t>
      </w:r>
      <w:r>
        <w:rPr>
          <w:rFonts w:hint="eastAsia"/>
          <w:sz w:val="24"/>
          <w:szCs w:val="24"/>
          <w:highlight w:val="none"/>
        </w:rPr>
        <w:t>）我方承诺在收到中选通知书后，在中选通知书规定的期限内与你方签订合同。</w:t>
      </w:r>
    </w:p>
    <w:p w14:paraId="0DAE7820">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2</w:t>
      </w:r>
      <w:r>
        <w:rPr>
          <w:rFonts w:hint="eastAsia"/>
          <w:sz w:val="24"/>
          <w:szCs w:val="24"/>
          <w:highlight w:val="none"/>
        </w:rPr>
        <w:t>）随同本投标函递交的投标函附录属于合同文件的组成部分。</w:t>
      </w:r>
    </w:p>
    <w:p w14:paraId="4D7F62A5">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3</w:t>
      </w:r>
      <w:r>
        <w:rPr>
          <w:rFonts w:hint="eastAsia"/>
          <w:sz w:val="24"/>
          <w:szCs w:val="24"/>
          <w:highlight w:val="none"/>
        </w:rPr>
        <w:t>）我方承诺按照招选取文件规定向你方递交履约担保。</w:t>
      </w:r>
    </w:p>
    <w:p w14:paraId="6E255E46">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4</w:t>
      </w:r>
      <w:r>
        <w:rPr>
          <w:rFonts w:hint="eastAsia"/>
          <w:sz w:val="24"/>
          <w:szCs w:val="24"/>
          <w:highlight w:val="none"/>
        </w:rPr>
        <w:t>）我方承诺在合同约定的期限内完成并移交全部合同工程。</w:t>
      </w:r>
    </w:p>
    <w:p w14:paraId="51A3382B">
      <w:pPr>
        <w:spacing w:line="480" w:lineRule="auto"/>
        <w:ind w:left="850" w:leftChars="405" w:right="842" w:rightChars="401" w:firstLine="484" w:firstLineChars="202"/>
        <w:rPr>
          <w:sz w:val="24"/>
          <w:szCs w:val="24"/>
          <w:highlight w:val="none"/>
        </w:rPr>
      </w:pPr>
      <w:r>
        <w:rPr>
          <w:sz w:val="24"/>
          <w:szCs w:val="24"/>
          <w:highlight w:val="none"/>
        </w:rPr>
        <w:t>4</w:t>
      </w:r>
      <w:r>
        <w:rPr>
          <w:rFonts w:hint="eastAsia"/>
          <w:sz w:val="24"/>
          <w:szCs w:val="24"/>
          <w:highlight w:val="none"/>
        </w:rPr>
        <w:t>．我方在此声明，所递交的投标文件及有关资料内容完整、真实和准确，且不存在下列情形之一：</w:t>
      </w:r>
    </w:p>
    <w:p w14:paraId="55EE9690">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（1）为招标人不具有独立法人资格的附属机构（单位）； </w:t>
      </w:r>
    </w:p>
    <w:p w14:paraId="02AC630B">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（2）为本招标项目前期准备提供设计或咨询服务的，但设计施工总承包的除外； </w:t>
      </w:r>
    </w:p>
    <w:p w14:paraId="25F6E0CA">
      <w:pPr>
        <w:spacing w:line="480" w:lineRule="auto"/>
        <w:ind w:left="850" w:leftChars="405" w:right="842" w:rightChars="401" w:firstLine="484" w:firstLineChars="202"/>
        <w:rPr>
          <w:sz w:val="24"/>
          <w:szCs w:val="24"/>
          <w:highlight w:val="none"/>
        </w:rPr>
      </w:pPr>
      <w:r>
        <w:rPr>
          <w:rFonts w:hint="eastAsia"/>
          <w:sz w:val="24"/>
          <w:szCs w:val="24"/>
          <w:highlight w:val="none"/>
        </w:rPr>
        <w:t>（3）为本招标项目的监理人；</w:t>
      </w:r>
    </w:p>
    <w:p w14:paraId="38A0E0A6">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（4）为本招标项目的代建人； </w:t>
      </w:r>
    </w:p>
    <w:p w14:paraId="74D0CA3E">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（5）为本招标项目提供招标代理服务的； </w:t>
      </w:r>
    </w:p>
    <w:p w14:paraId="6F93D2D8">
      <w:pPr>
        <w:spacing w:line="480" w:lineRule="auto"/>
        <w:ind w:left="850" w:leftChars="405" w:right="842" w:rightChars="401" w:firstLine="484" w:firstLineChars="202"/>
        <w:rPr>
          <w:sz w:val="24"/>
          <w:szCs w:val="24"/>
          <w:highlight w:val="none"/>
        </w:rPr>
      </w:pPr>
      <w:r>
        <w:rPr>
          <w:rFonts w:hint="eastAsia"/>
          <w:sz w:val="24"/>
          <w:szCs w:val="24"/>
          <w:highlight w:val="none"/>
        </w:rPr>
        <w:t>（6）与本招标项目的监理人或代建人或招标代理机构同为一个法定代表人的；</w:t>
      </w:r>
    </w:p>
    <w:p w14:paraId="6D6488C4">
      <w:pPr>
        <w:spacing w:line="480" w:lineRule="auto"/>
        <w:ind w:left="850" w:leftChars="405" w:right="842" w:rightChars="401" w:firstLine="484" w:firstLineChars="202"/>
        <w:rPr>
          <w:sz w:val="24"/>
          <w:szCs w:val="24"/>
          <w:highlight w:val="none"/>
        </w:rPr>
      </w:pPr>
      <w:r>
        <w:rPr>
          <w:rFonts w:hint="eastAsia"/>
          <w:sz w:val="24"/>
          <w:szCs w:val="24"/>
          <w:highlight w:val="none"/>
        </w:rPr>
        <w:t>（7）与本招标项目的监理人或代建人或招标代理机构相互控股或参股的；</w:t>
      </w:r>
    </w:p>
    <w:p w14:paraId="22C05E17">
      <w:pPr>
        <w:spacing w:line="480" w:lineRule="auto"/>
        <w:ind w:left="850" w:leftChars="405" w:right="842" w:rightChars="401" w:firstLine="484" w:firstLineChars="202"/>
        <w:rPr>
          <w:sz w:val="24"/>
          <w:szCs w:val="24"/>
          <w:highlight w:val="none"/>
        </w:rPr>
      </w:pPr>
      <w:r>
        <w:rPr>
          <w:rFonts w:hint="eastAsia"/>
          <w:sz w:val="24"/>
          <w:szCs w:val="24"/>
          <w:highlight w:val="none"/>
        </w:rPr>
        <w:t>（8）与本招标项目的监理人或代建人或招标代理机构相互任职或工作的。</w:t>
      </w:r>
    </w:p>
    <w:p w14:paraId="2B5B0CD7">
      <w:pPr>
        <w:spacing w:line="480" w:lineRule="auto"/>
        <w:ind w:left="850" w:leftChars="405" w:right="842" w:rightChars="401" w:firstLine="484" w:firstLineChars="202"/>
        <w:rPr>
          <w:sz w:val="24"/>
          <w:szCs w:val="24"/>
          <w:highlight w:val="none"/>
        </w:rPr>
      </w:pPr>
      <w:r>
        <w:rPr>
          <w:sz w:val="24"/>
          <w:szCs w:val="24"/>
          <w:highlight w:val="none"/>
        </w:rPr>
        <w:t>5.</w:t>
      </w:r>
      <w:r>
        <w:rPr>
          <w:rFonts w:hint="eastAsia"/>
          <w:sz w:val="24"/>
          <w:szCs w:val="24"/>
          <w:highlight w:val="none"/>
        </w:rPr>
        <w:t>我方完成响应“合同条款及格式”规定的权利义务、“技术标准和要求”规定的技术标准和要求。</w:t>
      </w:r>
    </w:p>
    <w:p w14:paraId="471249CA">
      <w:pPr>
        <w:spacing w:line="480" w:lineRule="auto"/>
        <w:ind w:left="850" w:leftChars="405" w:right="842" w:rightChars="401" w:firstLine="484" w:firstLineChars="202"/>
        <w:rPr>
          <w:sz w:val="24"/>
          <w:szCs w:val="24"/>
          <w:highlight w:val="none"/>
        </w:rPr>
      </w:pPr>
      <w:r>
        <w:rPr>
          <w:sz w:val="24"/>
          <w:szCs w:val="24"/>
          <w:highlight w:val="none"/>
        </w:rPr>
        <w:t>6</w:t>
      </w:r>
      <w:r>
        <w:rPr>
          <w:rFonts w:hint="eastAsia"/>
          <w:sz w:val="24"/>
          <w:szCs w:val="24"/>
          <w:highlight w:val="non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u w:val="single"/>
        </w:rPr>
        <w:t>（其他补充说明）</w:t>
      </w:r>
      <w:r>
        <w:rPr>
          <w:rFonts w:hint="eastAsia"/>
          <w:sz w:val="24"/>
          <w:szCs w:val="24"/>
          <w:highlight w:val="none"/>
        </w:rPr>
        <w:t>。</w:t>
      </w:r>
    </w:p>
    <w:p w14:paraId="7756AD85">
      <w:pPr>
        <w:spacing w:line="480" w:lineRule="auto"/>
        <w:ind w:left="6237" w:leftChars="2970" w:right="842" w:rightChars="401"/>
        <w:rPr>
          <w:sz w:val="24"/>
          <w:szCs w:val="24"/>
          <w:highlight w:val="none"/>
          <w:u w:val="single"/>
        </w:rPr>
      </w:pPr>
      <w:r>
        <w:rPr>
          <w:rFonts w:hint="eastAsia"/>
          <w:sz w:val="24"/>
          <w:szCs w:val="24"/>
          <w:highlight w:val="none"/>
        </w:rPr>
        <w:t>投标人名称（盖单位章）：</w:t>
      </w: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p>
    <w:p w14:paraId="1C10A8E4">
      <w:pPr>
        <w:spacing w:line="480" w:lineRule="auto"/>
        <w:ind w:left="6237" w:leftChars="2970" w:right="842" w:rightChars="401"/>
        <w:rPr>
          <w:sz w:val="24"/>
          <w:szCs w:val="24"/>
          <w:highlight w:val="none"/>
        </w:rPr>
      </w:pPr>
      <w:r>
        <w:rPr>
          <w:rFonts w:hint="eastAsia"/>
          <w:sz w:val="24"/>
          <w:szCs w:val="24"/>
          <w:highlight w:val="none"/>
        </w:rPr>
        <w:t>法定代表人或其委托代理人：（签字）</w:t>
      </w:r>
      <w:r>
        <w:rPr>
          <w:rFonts w:hint="eastAsia"/>
          <w:sz w:val="24"/>
          <w:szCs w:val="24"/>
          <w:highlight w:val="none"/>
          <w:u w:val="single"/>
        </w:rPr>
        <w:t xml:space="preserve">         </w:t>
      </w:r>
      <w:r>
        <w:rPr>
          <w:rFonts w:hint="eastAsia"/>
          <w:sz w:val="24"/>
          <w:szCs w:val="24"/>
          <w:highlight w:val="none"/>
        </w:rPr>
        <w:t xml:space="preserve"> </w:t>
      </w:r>
    </w:p>
    <w:p w14:paraId="00AF09F5">
      <w:pPr>
        <w:spacing w:line="480" w:lineRule="auto"/>
        <w:ind w:left="6237" w:leftChars="2970" w:right="842" w:rightChars="401"/>
        <w:rPr>
          <w:sz w:val="24"/>
          <w:szCs w:val="24"/>
          <w:highlight w:val="none"/>
        </w:rPr>
      </w:pP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7066A26F">
      <w:pPr>
        <w:tabs>
          <w:tab w:val="left" w:pos="3520"/>
        </w:tabs>
        <w:kinsoku w:val="0"/>
        <w:overflowPunct w:val="0"/>
        <w:autoSpaceDE w:val="0"/>
        <w:autoSpaceDN w:val="0"/>
        <w:adjustRightInd w:val="0"/>
        <w:ind w:left="850" w:right="842" w:rightChars="401"/>
        <w:jc w:val="left"/>
        <w:rPr>
          <w:rFonts w:ascii="宋体" w:hAnsi="Calibri" w:eastAsia="宋体" w:cs="宋体"/>
          <w:kern w:val="0"/>
          <w:sz w:val="24"/>
          <w:szCs w:val="24"/>
          <w:highlight w:val="none"/>
        </w:rPr>
      </w:pPr>
    </w:p>
    <w:p w14:paraId="77B91C2B">
      <w:pPr>
        <w:tabs>
          <w:tab w:val="left" w:pos="3520"/>
        </w:tabs>
        <w:kinsoku w:val="0"/>
        <w:overflowPunct w:val="0"/>
        <w:autoSpaceDE w:val="0"/>
        <w:autoSpaceDN w:val="0"/>
        <w:adjustRightInd w:val="0"/>
        <w:ind w:left="850"/>
        <w:jc w:val="left"/>
        <w:rPr>
          <w:rFonts w:ascii="宋体" w:hAnsi="Calibri" w:eastAsia="宋体" w:cs="宋体"/>
          <w:kern w:val="0"/>
          <w:sz w:val="24"/>
          <w:szCs w:val="24"/>
          <w:highlight w:val="none"/>
        </w:rPr>
      </w:pPr>
    </w:p>
    <w:p w14:paraId="323AF959">
      <w:pPr>
        <w:tabs>
          <w:tab w:val="left" w:pos="3520"/>
        </w:tabs>
        <w:kinsoku w:val="0"/>
        <w:overflowPunct w:val="0"/>
        <w:autoSpaceDE w:val="0"/>
        <w:autoSpaceDN w:val="0"/>
        <w:adjustRightInd w:val="0"/>
        <w:ind w:left="850"/>
        <w:jc w:val="left"/>
        <w:rPr>
          <w:rFonts w:ascii="宋体" w:hAnsi="Calibri" w:eastAsia="宋体" w:cs="宋体"/>
          <w:kern w:val="0"/>
          <w:sz w:val="24"/>
          <w:szCs w:val="24"/>
          <w:highlight w:val="none"/>
        </w:rPr>
      </w:pPr>
    </w:p>
    <w:p w14:paraId="2B361D34">
      <w:pPr>
        <w:tabs>
          <w:tab w:val="left" w:pos="3520"/>
        </w:tabs>
        <w:kinsoku w:val="0"/>
        <w:overflowPunct w:val="0"/>
        <w:autoSpaceDE w:val="0"/>
        <w:autoSpaceDN w:val="0"/>
        <w:adjustRightInd w:val="0"/>
        <w:ind w:left="850" w:firstLine="336"/>
        <w:jc w:val="left"/>
        <w:rPr>
          <w:rFonts w:ascii="宋体" w:hAnsi="Calibri" w:eastAsia="宋体" w:cs="宋体"/>
          <w:kern w:val="0"/>
          <w:sz w:val="19"/>
          <w:szCs w:val="19"/>
          <w:highlight w:val="none"/>
        </w:rPr>
        <w:sectPr>
          <w:pgSz w:w="11900" w:h="16840"/>
          <w:pgMar w:top="820" w:right="0" w:bottom="840" w:left="0" w:header="0" w:footer="615" w:gutter="0"/>
          <w:pgBorders>
            <w:top w:val="none" w:sz="0" w:space="0"/>
            <w:left w:val="none" w:sz="0" w:space="0"/>
            <w:bottom w:val="none" w:sz="0" w:space="0"/>
            <w:right w:val="none" w:sz="0" w:space="0"/>
          </w:pgBorders>
          <w:cols w:space="720" w:num="1"/>
        </w:sectPr>
      </w:pPr>
    </w:p>
    <w:p w14:paraId="211BFBE8">
      <w:pPr>
        <w:kinsoku w:val="0"/>
        <w:overflowPunct w:val="0"/>
        <w:autoSpaceDE w:val="0"/>
        <w:autoSpaceDN w:val="0"/>
        <w:adjustRightInd w:val="0"/>
        <w:spacing w:before="72"/>
        <w:ind w:left="850" w:right="886" w:firstLine="426"/>
        <w:jc w:val="center"/>
        <w:outlineLvl w:val="7"/>
        <w:rPr>
          <w:rFonts w:ascii="宋体" w:hAnsi="Times New Roman" w:eastAsia="宋体" w:cs="宋体"/>
          <w:b/>
          <w:bCs/>
          <w:kern w:val="0"/>
          <w:sz w:val="24"/>
          <w:szCs w:val="24"/>
          <w:highlight w:val="none"/>
        </w:rPr>
      </w:pPr>
      <w:r>
        <w:rPr>
          <w:rFonts w:hint="eastAsia" w:ascii="宋体" w:hAnsi="Times New Roman" w:eastAsia="宋体" w:cs="宋体"/>
          <w:b/>
          <w:bCs/>
          <w:kern w:val="0"/>
          <w:sz w:val="24"/>
          <w:szCs w:val="24"/>
          <w:highlight w:val="none"/>
        </w:rPr>
        <w:t>（二）投标函附录</w:t>
      </w:r>
    </w:p>
    <w:tbl>
      <w:tblPr>
        <w:tblStyle w:val="61"/>
        <w:tblW w:w="8730" w:type="dxa"/>
        <w:jc w:val="center"/>
        <w:tblLayout w:type="fixed"/>
        <w:tblCellMar>
          <w:top w:w="0" w:type="dxa"/>
          <w:left w:w="0" w:type="dxa"/>
          <w:bottom w:w="0" w:type="dxa"/>
          <w:right w:w="0" w:type="dxa"/>
        </w:tblCellMar>
      </w:tblPr>
      <w:tblGrid>
        <w:gridCol w:w="1052"/>
        <w:gridCol w:w="3385"/>
        <w:gridCol w:w="2891"/>
        <w:gridCol w:w="1402"/>
      </w:tblGrid>
      <w:tr w14:paraId="2AD57175">
        <w:tblPrEx>
          <w:tblCellMar>
            <w:top w:w="0" w:type="dxa"/>
            <w:left w:w="0" w:type="dxa"/>
            <w:bottom w:w="0" w:type="dxa"/>
            <w:right w:w="0" w:type="dxa"/>
          </w:tblCellMar>
        </w:tblPrEx>
        <w:trPr>
          <w:trHeight w:val="594" w:hRule="atLeast"/>
          <w:jc w:val="center"/>
        </w:trPr>
        <w:tc>
          <w:tcPr>
            <w:tcW w:w="1052" w:type="dxa"/>
            <w:tcBorders>
              <w:top w:val="single" w:color="000000" w:sz="12" w:space="0"/>
              <w:left w:val="single" w:color="000000" w:sz="12" w:space="0"/>
              <w:bottom w:val="single" w:color="000000" w:sz="6" w:space="0"/>
              <w:right w:val="single" w:color="000000" w:sz="6" w:space="0"/>
            </w:tcBorders>
            <w:vAlign w:val="center"/>
          </w:tcPr>
          <w:p w14:paraId="49FE31AE">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3385" w:type="dxa"/>
            <w:tcBorders>
              <w:top w:val="single" w:color="000000" w:sz="12" w:space="0"/>
              <w:left w:val="single" w:color="000000" w:sz="6" w:space="0"/>
              <w:bottom w:val="single" w:color="000000" w:sz="6" w:space="0"/>
              <w:right w:val="single" w:color="000000" w:sz="6" w:space="0"/>
            </w:tcBorders>
            <w:vAlign w:val="center"/>
          </w:tcPr>
          <w:p w14:paraId="1A5C3C2F">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条款内容</w:t>
            </w:r>
          </w:p>
        </w:tc>
        <w:tc>
          <w:tcPr>
            <w:tcW w:w="2891" w:type="dxa"/>
            <w:tcBorders>
              <w:top w:val="single" w:color="000000" w:sz="12" w:space="0"/>
              <w:left w:val="single" w:color="000000" w:sz="6" w:space="0"/>
              <w:bottom w:val="single" w:color="000000" w:sz="6" w:space="0"/>
              <w:right w:val="single" w:color="000000" w:sz="6" w:space="0"/>
            </w:tcBorders>
            <w:vAlign w:val="center"/>
          </w:tcPr>
          <w:p w14:paraId="73CB356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约定内容</w:t>
            </w:r>
          </w:p>
        </w:tc>
        <w:tc>
          <w:tcPr>
            <w:tcW w:w="1402" w:type="dxa"/>
            <w:tcBorders>
              <w:top w:val="single" w:color="000000" w:sz="12" w:space="0"/>
              <w:left w:val="single" w:color="000000" w:sz="6" w:space="0"/>
              <w:bottom w:val="single" w:color="000000" w:sz="6" w:space="0"/>
              <w:right w:val="single" w:color="000000" w:sz="12" w:space="0"/>
            </w:tcBorders>
            <w:vAlign w:val="center"/>
          </w:tcPr>
          <w:p w14:paraId="06004C68">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060526C8">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45D187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85" w:type="dxa"/>
            <w:tcBorders>
              <w:top w:val="single" w:color="000000" w:sz="6" w:space="0"/>
              <w:left w:val="single" w:color="000000" w:sz="6" w:space="0"/>
              <w:bottom w:val="single" w:color="000000" w:sz="6" w:space="0"/>
              <w:right w:val="single" w:color="000000" w:sz="6" w:space="0"/>
            </w:tcBorders>
            <w:vAlign w:val="center"/>
          </w:tcPr>
          <w:p w14:paraId="51848F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项目负责人（建造师）</w:t>
            </w:r>
          </w:p>
        </w:tc>
        <w:tc>
          <w:tcPr>
            <w:tcW w:w="2891" w:type="dxa"/>
            <w:tcBorders>
              <w:top w:val="single" w:color="000000" w:sz="6" w:space="0"/>
              <w:left w:val="single" w:color="000000" w:sz="6" w:space="0"/>
              <w:bottom w:val="single" w:color="000000" w:sz="6" w:space="0"/>
              <w:right w:val="single" w:color="000000" w:sz="6" w:space="0"/>
            </w:tcBorders>
            <w:vAlign w:val="center"/>
          </w:tcPr>
          <w:p w14:paraId="08144FC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402" w:type="dxa"/>
            <w:tcBorders>
              <w:top w:val="single" w:color="000000" w:sz="6" w:space="0"/>
              <w:left w:val="single" w:color="000000" w:sz="6" w:space="0"/>
              <w:bottom w:val="single" w:color="000000" w:sz="6" w:space="0"/>
              <w:right w:val="single" w:color="000000" w:sz="12" w:space="0"/>
            </w:tcBorders>
            <w:vAlign w:val="center"/>
          </w:tcPr>
          <w:p w14:paraId="23BCDEAA">
            <w:pPr>
              <w:spacing w:line="360" w:lineRule="auto"/>
              <w:jc w:val="center"/>
              <w:rPr>
                <w:rFonts w:hint="eastAsia" w:ascii="宋体" w:hAnsi="宋体" w:eastAsia="宋体" w:cs="宋体"/>
                <w:sz w:val="24"/>
                <w:szCs w:val="24"/>
                <w:highlight w:val="none"/>
              </w:rPr>
            </w:pPr>
          </w:p>
        </w:tc>
      </w:tr>
      <w:tr w14:paraId="2AE4687C">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4E0701D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385" w:type="dxa"/>
            <w:tcBorders>
              <w:top w:val="single" w:color="000000" w:sz="6" w:space="0"/>
              <w:left w:val="single" w:color="000000" w:sz="6" w:space="0"/>
              <w:bottom w:val="single" w:color="000000" w:sz="6" w:space="0"/>
              <w:right w:val="single" w:color="000000" w:sz="6" w:space="0"/>
            </w:tcBorders>
            <w:vAlign w:val="center"/>
          </w:tcPr>
          <w:p w14:paraId="021A3B0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w:t>
            </w:r>
          </w:p>
        </w:tc>
        <w:tc>
          <w:tcPr>
            <w:tcW w:w="2891" w:type="dxa"/>
            <w:tcBorders>
              <w:top w:val="single" w:color="000000" w:sz="6" w:space="0"/>
              <w:left w:val="single" w:color="000000" w:sz="6" w:space="0"/>
              <w:bottom w:val="single" w:color="000000" w:sz="6" w:space="0"/>
              <w:right w:val="single" w:color="000000" w:sz="6" w:space="0"/>
            </w:tcBorders>
            <w:vAlign w:val="center"/>
          </w:tcPr>
          <w:p w14:paraId="4130CD0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个日历日</w:t>
            </w:r>
          </w:p>
        </w:tc>
        <w:tc>
          <w:tcPr>
            <w:tcW w:w="1402" w:type="dxa"/>
            <w:tcBorders>
              <w:top w:val="single" w:color="000000" w:sz="6" w:space="0"/>
              <w:left w:val="single" w:color="000000" w:sz="6" w:space="0"/>
              <w:bottom w:val="single" w:color="000000" w:sz="6" w:space="0"/>
              <w:right w:val="single" w:color="000000" w:sz="12" w:space="0"/>
            </w:tcBorders>
            <w:vAlign w:val="center"/>
          </w:tcPr>
          <w:p w14:paraId="7FAABD52">
            <w:pPr>
              <w:spacing w:line="360" w:lineRule="auto"/>
              <w:jc w:val="center"/>
              <w:rPr>
                <w:rFonts w:hint="eastAsia" w:ascii="宋体" w:hAnsi="宋体" w:eastAsia="宋体" w:cs="宋体"/>
                <w:sz w:val="24"/>
                <w:szCs w:val="24"/>
                <w:highlight w:val="none"/>
              </w:rPr>
            </w:pPr>
          </w:p>
        </w:tc>
      </w:tr>
      <w:tr w14:paraId="43619DA2">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323430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385" w:type="dxa"/>
            <w:tcBorders>
              <w:top w:val="single" w:color="000000" w:sz="6" w:space="0"/>
              <w:left w:val="single" w:color="000000" w:sz="6" w:space="0"/>
              <w:bottom w:val="single" w:color="000000" w:sz="6" w:space="0"/>
              <w:right w:val="single" w:color="000000" w:sz="6" w:space="0"/>
            </w:tcBorders>
            <w:vAlign w:val="center"/>
          </w:tcPr>
          <w:p w14:paraId="1CD1D5B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2891" w:type="dxa"/>
            <w:tcBorders>
              <w:top w:val="single" w:color="000000" w:sz="6" w:space="0"/>
              <w:left w:val="single" w:color="000000" w:sz="6" w:space="0"/>
              <w:bottom w:val="single" w:color="000000" w:sz="6" w:space="0"/>
              <w:right w:val="single" w:color="000000" w:sz="6" w:space="0"/>
            </w:tcBorders>
            <w:vAlign w:val="center"/>
          </w:tcPr>
          <w:p w14:paraId="69E70D7D">
            <w:pPr>
              <w:spacing w:line="360" w:lineRule="auto"/>
              <w:jc w:val="center"/>
              <w:rPr>
                <w:rFonts w:hint="eastAsia" w:ascii="宋体" w:hAnsi="宋体" w:eastAsia="宋体" w:cs="宋体"/>
                <w:sz w:val="24"/>
                <w:szCs w:val="24"/>
                <w:highlight w:val="none"/>
              </w:rPr>
            </w:pPr>
          </w:p>
        </w:tc>
        <w:tc>
          <w:tcPr>
            <w:tcW w:w="1402" w:type="dxa"/>
            <w:tcBorders>
              <w:top w:val="single" w:color="000000" w:sz="6" w:space="0"/>
              <w:left w:val="single" w:color="000000" w:sz="6" w:space="0"/>
              <w:bottom w:val="single" w:color="000000" w:sz="6" w:space="0"/>
              <w:right w:val="single" w:color="000000" w:sz="12" w:space="0"/>
            </w:tcBorders>
            <w:vAlign w:val="center"/>
          </w:tcPr>
          <w:p w14:paraId="46D38878">
            <w:pPr>
              <w:spacing w:line="360" w:lineRule="auto"/>
              <w:jc w:val="center"/>
              <w:rPr>
                <w:rFonts w:hint="eastAsia" w:ascii="宋体" w:hAnsi="宋体" w:eastAsia="宋体" w:cs="宋体"/>
                <w:sz w:val="24"/>
                <w:szCs w:val="24"/>
                <w:highlight w:val="none"/>
              </w:rPr>
            </w:pPr>
          </w:p>
        </w:tc>
      </w:tr>
      <w:tr w14:paraId="6D62897A">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08A042B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385" w:type="dxa"/>
            <w:tcBorders>
              <w:top w:val="single" w:color="000000" w:sz="6" w:space="0"/>
              <w:left w:val="single" w:color="000000" w:sz="6" w:space="0"/>
              <w:bottom w:val="single" w:color="000000" w:sz="6" w:space="0"/>
              <w:right w:val="single" w:color="000000" w:sz="6" w:space="0"/>
            </w:tcBorders>
            <w:vAlign w:val="center"/>
          </w:tcPr>
          <w:p w14:paraId="00A2B07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w:t>
            </w:r>
          </w:p>
        </w:tc>
        <w:tc>
          <w:tcPr>
            <w:tcW w:w="2891" w:type="dxa"/>
            <w:tcBorders>
              <w:top w:val="single" w:color="000000" w:sz="6" w:space="0"/>
              <w:left w:val="single" w:color="000000" w:sz="6" w:space="0"/>
              <w:bottom w:val="single" w:color="000000" w:sz="6" w:space="0"/>
              <w:right w:val="single" w:color="000000" w:sz="6" w:space="0"/>
            </w:tcBorders>
            <w:vAlign w:val="center"/>
          </w:tcPr>
          <w:p w14:paraId="1F3EF6F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1年</w:t>
            </w:r>
          </w:p>
        </w:tc>
        <w:tc>
          <w:tcPr>
            <w:tcW w:w="1402" w:type="dxa"/>
            <w:tcBorders>
              <w:top w:val="single" w:color="000000" w:sz="6" w:space="0"/>
              <w:left w:val="single" w:color="000000" w:sz="6" w:space="0"/>
              <w:bottom w:val="single" w:color="000000" w:sz="6" w:space="0"/>
              <w:right w:val="single" w:color="000000" w:sz="12" w:space="0"/>
            </w:tcBorders>
            <w:vAlign w:val="center"/>
          </w:tcPr>
          <w:p w14:paraId="58BF06AF">
            <w:pPr>
              <w:spacing w:line="360" w:lineRule="auto"/>
              <w:jc w:val="center"/>
              <w:rPr>
                <w:rFonts w:hint="eastAsia" w:ascii="宋体" w:hAnsi="宋体" w:eastAsia="宋体" w:cs="宋体"/>
                <w:sz w:val="24"/>
                <w:szCs w:val="24"/>
                <w:highlight w:val="none"/>
              </w:rPr>
            </w:pPr>
          </w:p>
        </w:tc>
      </w:tr>
      <w:tr w14:paraId="5AEAD551">
        <w:tblPrEx>
          <w:tblCellMar>
            <w:top w:w="0" w:type="dxa"/>
            <w:left w:w="0" w:type="dxa"/>
            <w:bottom w:w="0" w:type="dxa"/>
            <w:right w:w="0" w:type="dxa"/>
          </w:tblCellMar>
        </w:tblPrEx>
        <w:trPr>
          <w:trHeight w:val="819"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578FB09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385" w:type="dxa"/>
            <w:tcBorders>
              <w:top w:val="single" w:color="000000" w:sz="6" w:space="0"/>
              <w:left w:val="single" w:color="000000" w:sz="6" w:space="0"/>
              <w:bottom w:val="single" w:color="000000" w:sz="6" w:space="0"/>
              <w:right w:val="single" w:color="000000" w:sz="6" w:space="0"/>
            </w:tcBorders>
            <w:vAlign w:val="center"/>
          </w:tcPr>
          <w:p w14:paraId="78CCA99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工程质量保修的约定</w:t>
            </w:r>
          </w:p>
        </w:tc>
        <w:tc>
          <w:tcPr>
            <w:tcW w:w="2891" w:type="dxa"/>
            <w:tcBorders>
              <w:top w:val="single" w:color="000000" w:sz="6" w:space="0"/>
              <w:left w:val="single" w:color="000000" w:sz="6" w:space="0"/>
              <w:bottom w:val="single" w:color="000000" w:sz="6" w:space="0"/>
              <w:right w:val="single" w:color="000000" w:sz="6" w:space="0"/>
            </w:tcBorders>
            <w:vAlign w:val="center"/>
          </w:tcPr>
          <w:p w14:paraId="30E99FB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依据《工程质量保修书》约定的期限</w:t>
            </w:r>
          </w:p>
        </w:tc>
        <w:tc>
          <w:tcPr>
            <w:tcW w:w="1402" w:type="dxa"/>
            <w:tcBorders>
              <w:top w:val="single" w:color="000000" w:sz="6" w:space="0"/>
              <w:left w:val="single" w:color="000000" w:sz="6" w:space="0"/>
              <w:bottom w:val="single" w:color="000000" w:sz="6" w:space="0"/>
              <w:right w:val="single" w:color="000000" w:sz="12" w:space="0"/>
            </w:tcBorders>
            <w:vAlign w:val="center"/>
          </w:tcPr>
          <w:p w14:paraId="5C2349EF">
            <w:pPr>
              <w:spacing w:line="360" w:lineRule="auto"/>
              <w:jc w:val="center"/>
              <w:rPr>
                <w:rFonts w:hint="eastAsia" w:ascii="宋体" w:hAnsi="宋体" w:eastAsia="宋体" w:cs="宋体"/>
                <w:sz w:val="24"/>
                <w:szCs w:val="24"/>
                <w:highlight w:val="none"/>
              </w:rPr>
            </w:pPr>
          </w:p>
        </w:tc>
      </w:tr>
      <w:tr w14:paraId="069166B4">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7197B5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385" w:type="dxa"/>
            <w:tcBorders>
              <w:top w:val="single" w:color="000000" w:sz="6" w:space="0"/>
              <w:left w:val="single" w:color="000000" w:sz="6" w:space="0"/>
              <w:bottom w:val="single" w:color="000000" w:sz="6" w:space="0"/>
              <w:right w:val="single" w:color="000000" w:sz="6" w:space="0"/>
            </w:tcBorders>
            <w:vAlign w:val="center"/>
          </w:tcPr>
          <w:p w14:paraId="133E56D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误期赔偿费</w:t>
            </w:r>
          </w:p>
        </w:tc>
        <w:tc>
          <w:tcPr>
            <w:tcW w:w="2891" w:type="dxa"/>
            <w:tcBorders>
              <w:top w:val="single" w:color="000000" w:sz="6" w:space="0"/>
              <w:left w:val="single" w:color="000000" w:sz="6" w:space="0"/>
              <w:bottom w:val="single" w:color="000000" w:sz="6" w:space="0"/>
              <w:right w:val="single" w:color="000000" w:sz="6" w:space="0"/>
            </w:tcBorders>
            <w:vAlign w:val="center"/>
          </w:tcPr>
          <w:p w14:paraId="17F790E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元/天</w:t>
            </w:r>
          </w:p>
        </w:tc>
        <w:tc>
          <w:tcPr>
            <w:tcW w:w="1402" w:type="dxa"/>
            <w:tcBorders>
              <w:top w:val="single" w:color="000000" w:sz="6" w:space="0"/>
              <w:left w:val="single" w:color="000000" w:sz="6" w:space="0"/>
              <w:bottom w:val="single" w:color="000000" w:sz="6" w:space="0"/>
              <w:right w:val="single" w:color="000000" w:sz="12" w:space="0"/>
            </w:tcBorders>
            <w:vAlign w:val="center"/>
          </w:tcPr>
          <w:p w14:paraId="108B14A6">
            <w:pPr>
              <w:spacing w:line="360" w:lineRule="auto"/>
              <w:jc w:val="center"/>
              <w:rPr>
                <w:rFonts w:hint="eastAsia" w:ascii="宋体" w:hAnsi="宋体" w:eastAsia="宋体" w:cs="宋体"/>
                <w:sz w:val="24"/>
                <w:szCs w:val="24"/>
                <w:highlight w:val="none"/>
              </w:rPr>
            </w:pPr>
          </w:p>
        </w:tc>
      </w:tr>
      <w:tr w14:paraId="02B42288">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3553BF6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385" w:type="dxa"/>
            <w:tcBorders>
              <w:top w:val="single" w:color="000000" w:sz="6" w:space="0"/>
              <w:left w:val="single" w:color="000000" w:sz="6" w:space="0"/>
              <w:bottom w:val="single" w:color="000000" w:sz="6" w:space="0"/>
              <w:right w:val="single" w:color="000000" w:sz="6" w:space="0"/>
            </w:tcBorders>
            <w:vAlign w:val="center"/>
          </w:tcPr>
          <w:p w14:paraId="084E203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误期赔偿费最高限额</w:t>
            </w:r>
          </w:p>
        </w:tc>
        <w:tc>
          <w:tcPr>
            <w:tcW w:w="2891" w:type="dxa"/>
            <w:tcBorders>
              <w:top w:val="single" w:color="000000" w:sz="6" w:space="0"/>
              <w:left w:val="single" w:color="000000" w:sz="6" w:space="0"/>
              <w:bottom w:val="single" w:color="000000" w:sz="6" w:space="0"/>
              <w:right w:val="single" w:color="000000" w:sz="6" w:space="0"/>
            </w:tcBorders>
            <w:vAlign w:val="center"/>
          </w:tcPr>
          <w:p w14:paraId="5EE2779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签约合同价的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w:t>
            </w:r>
          </w:p>
        </w:tc>
        <w:tc>
          <w:tcPr>
            <w:tcW w:w="1402" w:type="dxa"/>
            <w:tcBorders>
              <w:top w:val="single" w:color="000000" w:sz="6" w:space="0"/>
              <w:left w:val="single" w:color="000000" w:sz="6" w:space="0"/>
              <w:bottom w:val="single" w:color="000000" w:sz="6" w:space="0"/>
              <w:right w:val="single" w:color="000000" w:sz="12" w:space="0"/>
            </w:tcBorders>
            <w:vAlign w:val="center"/>
          </w:tcPr>
          <w:p w14:paraId="32DF5301">
            <w:pPr>
              <w:spacing w:line="360" w:lineRule="auto"/>
              <w:jc w:val="center"/>
              <w:rPr>
                <w:rFonts w:hint="eastAsia" w:ascii="宋体" w:hAnsi="宋体" w:eastAsia="宋体" w:cs="宋体"/>
                <w:sz w:val="24"/>
                <w:szCs w:val="24"/>
                <w:highlight w:val="none"/>
              </w:rPr>
            </w:pPr>
          </w:p>
        </w:tc>
      </w:tr>
      <w:tr w14:paraId="01705432">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3B67850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385" w:type="dxa"/>
            <w:tcBorders>
              <w:top w:val="single" w:color="000000" w:sz="6" w:space="0"/>
              <w:left w:val="single" w:color="000000" w:sz="6" w:space="0"/>
              <w:bottom w:val="single" w:color="000000" w:sz="6" w:space="0"/>
              <w:right w:val="single" w:color="000000" w:sz="6" w:space="0"/>
            </w:tcBorders>
            <w:vAlign w:val="center"/>
          </w:tcPr>
          <w:p w14:paraId="3E7AF4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质量保证金扣留百分比</w:t>
            </w:r>
          </w:p>
        </w:tc>
        <w:tc>
          <w:tcPr>
            <w:tcW w:w="2891" w:type="dxa"/>
            <w:tcBorders>
              <w:top w:val="single" w:color="000000" w:sz="6" w:space="0"/>
              <w:left w:val="single" w:color="000000" w:sz="6" w:space="0"/>
              <w:bottom w:val="single" w:color="000000" w:sz="6" w:space="0"/>
              <w:right w:val="single" w:color="000000" w:sz="6" w:space="0"/>
            </w:tcBorders>
            <w:vAlign w:val="center"/>
          </w:tcPr>
          <w:p w14:paraId="52DEC9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工程结算价的3%</w:t>
            </w:r>
          </w:p>
        </w:tc>
        <w:tc>
          <w:tcPr>
            <w:tcW w:w="1402" w:type="dxa"/>
            <w:tcBorders>
              <w:top w:val="single" w:color="000000" w:sz="6" w:space="0"/>
              <w:left w:val="single" w:color="000000" w:sz="6" w:space="0"/>
              <w:bottom w:val="single" w:color="000000" w:sz="6" w:space="0"/>
              <w:right w:val="single" w:color="000000" w:sz="12" w:space="0"/>
            </w:tcBorders>
            <w:vAlign w:val="center"/>
          </w:tcPr>
          <w:p w14:paraId="2C669269">
            <w:pPr>
              <w:spacing w:line="360" w:lineRule="auto"/>
              <w:jc w:val="center"/>
              <w:rPr>
                <w:rFonts w:hint="eastAsia" w:ascii="宋体" w:hAnsi="宋体" w:eastAsia="宋体" w:cs="宋体"/>
                <w:sz w:val="24"/>
                <w:szCs w:val="24"/>
                <w:highlight w:val="none"/>
              </w:rPr>
            </w:pPr>
          </w:p>
        </w:tc>
      </w:tr>
      <w:tr w14:paraId="2819FD89">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23AECE1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385" w:type="dxa"/>
            <w:tcBorders>
              <w:top w:val="single" w:color="000000" w:sz="6" w:space="0"/>
              <w:left w:val="single" w:color="000000" w:sz="6" w:space="0"/>
              <w:bottom w:val="single" w:color="000000" w:sz="6" w:space="0"/>
              <w:right w:val="single" w:color="000000" w:sz="6" w:space="0"/>
            </w:tcBorders>
            <w:vAlign w:val="center"/>
          </w:tcPr>
          <w:p w14:paraId="67C7C99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专用合同条款的其他内容</w:t>
            </w:r>
          </w:p>
        </w:tc>
        <w:tc>
          <w:tcPr>
            <w:tcW w:w="2891" w:type="dxa"/>
            <w:tcBorders>
              <w:top w:val="single" w:color="000000" w:sz="6" w:space="0"/>
              <w:left w:val="single" w:color="000000" w:sz="6" w:space="0"/>
              <w:bottom w:val="single" w:color="000000" w:sz="6" w:space="0"/>
              <w:right w:val="single" w:color="000000" w:sz="6" w:space="0"/>
            </w:tcBorders>
            <w:vAlign w:val="center"/>
          </w:tcPr>
          <w:p w14:paraId="304A0D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按招标文件执行</w:t>
            </w:r>
          </w:p>
        </w:tc>
        <w:tc>
          <w:tcPr>
            <w:tcW w:w="1402" w:type="dxa"/>
            <w:tcBorders>
              <w:top w:val="single" w:color="000000" w:sz="6" w:space="0"/>
              <w:left w:val="single" w:color="000000" w:sz="6" w:space="0"/>
              <w:bottom w:val="single" w:color="000000" w:sz="6" w:space="0"/>
              <w:right w:val="single" w:color="000000" w:sz="12" w:space="0"/>
            </w:tcBorders>
            <w:vAlign w:val="center"/>
          </w:tcPr>
          <w:p w14:paraId="04EDB95A">
            <w:pPr>
              <w:spacing w:line="360" w:lineRule="auto"/>
              <w:jc w:val="center"/>
              <w:rPr>
                <w:rFonts w:hint="eastAsia" w:ascii="宋体" w:hAnsi="宋体" w:eastAsia="宋体" w:cs="宋体"/>
                <w:sz w:val="24"/>
                <w:szCs w:val="24"/>
                <w:highlight w:val="none"/>
              </w:rPr>
            </w:pPr>
          </w:p>
        </w:tc>
      </w:tr>
    </w:tbl>
    <w:p w14:paraId="33F1455A">
      <w:pPr>
        <w:spacing w:line="480" w:lineRule="auto"/>
        <w:ind w:right="842" w:rightChars="401"/>
        <w:jc w:val="right"/>
        <w:rPr>
          <w:sz w:val="24"/>
          <w:szCs w:val="24"/>
          <w:highlight w:val="none"/>
        </w:rPr>
      </w:pPr>
    </w:p>
    <w:p w14:paraId="1F34AC19">
      <w:pPr>
        <w:spacing w:line="480" w:lineRule="auto"/>
        <w:ind w:right="842" w:rightChars="401"/>
        <w:jc w:val="right"/>
        <w:rPr>
          <w:sz w:val="24"/>
          <w:szCs w:val="24"/>
          <w:highlight w:val="none"/>
          <w:u w:val="single"/>
        </w:rPr>
      </w:pPr>
      <w:r>
        <w:rPr>
          <w:rFonts w:hint="eastAsia"/>
          <w:sz w:val="24"/>
          <w:szCs w:val="24"/>
          <w:highlight w:val="none"/>
        </w:rPr>
        <w:t>投标人名称：</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（盖单位章）</w:t>
      </w:r>
    </w:p>
    <w:p w14:paraId="38D91BB5">
      <w:pPr>
        <w:spacing w:line="480" w:lineRule="auto"/>
        <w:ind w:left="5103" w:leftChars="2430" w:right="842" w:rightChars="401" w:firstLine="720" w:firstLineChars="300"/>
        <w:rPr>
          <w:sz w:val="24"/>
          <w:szCs w:val="24"/>
          <w:highlight w:val="none"/>
        </w:rPr>
      </w:pPr>
      <w:r>
        <w:rPr>
          <w:rFonts w:hint="eastAsia"/>
          <w:sz w:val="24"/>
          <w:szCs w:val="24"/>
          <w:highlight w:val="none"/>
        </w:rPr>
        <w:t>法定代表人：</w:t>
      </w:r>
      <w:r>
        <w:rPr>
          <w:rFonts w:hint="eastAsia"/>
          <w:sz w:val="24"/>
          <w:szCs w:val="24"/>
          <w:highlight w:val="none"/>
          <w:u w:val="single"/>
        </w:rPr>
        <w:t xml:space="preserve">         </w:t>
      </w:r>
      <w:r>
        <w:rPr>
          <w:rFonts w:hint="eastAsia"/>
          <w:sz w:val="24"/>
          <w:szCs w:val="24"/>
          <w:highlight w:val="none"/>
        </w:rPr>
        <w:t xml:space="preserve"> （签字）</w:t>
      </w:r>
    </w:p>
    <w:p w14:paraId="36ADB118">
      <w:pPr>
        <w:spacing w:line="480" w:lineRule="auto"/>
        <w:ind w:left="6237" w:leftChars="2970" w:right="842" w:rightChars="401"/>
        <w:rPr>
          <w:sz w:val="24"/>
          <w:szCs w:val="24"/>
          <w:highlight w:val="none"/>
        </w:rPr>
      </w:pPr>
      <w:r>
        <w:rPr>
          <w:rFonts w:hint="eastAsia"/>
          <w:sz w:val="24"/>
          <w:szCs w:val="24"/>
          <w:highlight w:val="none"/>
        </w:rPr>
        <w:t>日期：</w:t>
      </w: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79783F2F">
      <w:pPr>
        <w:kinsoku w:val="0"/>
        <w:overflowPunct w:val="0"/>
        <w:autoSpaceDE w:val="0"/>
        <w:autoSpaceDN w:val="0"/>
        <w:adjustRightInd w:val="0"/>
        <w:spacing w:before="3"/>
        <w:ind w:firstLine="372"/>
        <w:jc w:val="left"/>
        <w:rPr>
          <w:rFonts w:ascii="宋体" w:hAnsi="Times New Roman" w:eastAsia="宋体" w:cs="宋体"/>
          <w:kern w:val="0"/>
          <w:szCs w:val="21"/>
          <w:highlight w:val="none"/>
        </w:rPr>
      </w:pPr>
    </w:p>
    <w:p w14:paraId="70413958">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247B92C9">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p>
    <w:p w14:paraId="131069BE">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t>三、履约承诺书</w:t>
      </w:r>
    </w:p>
    <w:p w14:paraId="224676AD">
      <w:pPr>
        <w:keepNext w:val="0"/>
        <w:keepLines w:val="0"/>
        <w:pageBreakBefore w:val="0"/>
        <w:widowControl w:val="0"/>
        <w:kinsoku w:val="0"/>
        <w:wordWrap/>
        <w:overflowPunct w:val="0"/>
        <w:topLinePunct w:val="0"/>
        <w:autoSpaceDE w:val="0"/>
        <w:autoSpaceDN w:val="0"/>
        <w:bidi w:val="0"/>
        <w:adjustRightInd w:val="0"/>
        <w:snapToGrid/>
        <w:spacing w:before="56" w:line="440" w:lineRule="exact"/>
        <w:jc w:val="left"/>
        <w:textAlignment w:val="auto"/>
        <w:outlineLvl w:val="7"/>
        <w:rPr>
          <w:sz w:val="24"/>
          <w:szCs w:val="24"/>
          <w:highlight w:val="none"/>
        </w:rPr>
      </w:pPr>
      <w:r>
        <w:rPr>
          <w:rFonts w:hint="eastAsia"/>
          <w:sz w:val="24"/>
          <w:szCs w:val="24"/>
          <w:highlight w:val="none"/>
        </w:rPr>
        <w:t>致：</w:t>
      </w:r>
      <w:r>
        <w:rPr>
          <w:rFonts w:hint="eastAsia"/>
          <w:sz w:val="24"/>
          <w:szCs w:val="24"/>
          <w:highlight w:val="none"/>
          <w:u w:val="single"/>
        </w:rPr>
        <w:t xml:space="preserve"> </w:t>
      </w:r>
      <w:r>
        <w:rPr>
          <w:rFonts w:hint="eastAsia"/>
          <w:sz w:val="24"/>
          <w:szCs w:val="24"/>
          <w:highlight w:val="none"/>
          <w:u w:val="single"/>
        </w:rPr>
        <w:tab/>
      </w:r>
      <w:r>
        <w:rPr>
          <w:rFonts w:hint="eastAsia"/>
          <w:sz w:val="24"/>
          <w:szCs w:val="24"/>
          <w:highlight w:val="none"/>
          <w:u w:val="single"/>
        </w:rPr>
        <w:t xml:space="preserve">           </w:t>
      </w:r>
    </w:p>
    <w:p w14:paraId="4A780398">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我单位在</w:t>
      </w:r>
      <w:r>
        <w:rPr>
          <w:rFonts w:hint="eastAsia"/>
          <w:sz w:val="24"/>
          <w:szCs w:val="24"/>
          <w:highlight w:val="none"/>
          <w:u w:val="single"/>
          <w:lang w:eastAsia="zh-CN"/>
        </w:rPr>
        <w:t>狮山镇下柏社区本德黄公祠修缮工程</w:t>
      </w:r>
      <w:r>
        <w:rPr>
          <w:rFonts w:hint="eastAsia"/>
          <w:sz w:val="24"/>
          <w:szCs w:val="24"/>
          <w:highlight w:val="none"/>
        </w:rPr>
        <w:t>施工选取承包商活动中，如有幸中标，在此郑重承诺：</w:t>
      </w:r>
    </w:p>
    <w:p w14:paraId="7D5A6ADE">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1、我公司将严格按照在投标文件中填报的人员数量和资历，在收到中选通知书后立即报送符合要求的相关资料报招标人核查，经核查符合要求后立即组织进场完成本项工程，并根据工程的实际需要增派相关人员。</w:t>
      </w:r>
    </w:p>
    <w:p w14:paraId="6808905E">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2、我公司将严格按照在投标文件中填报的施工机械及试验设备在收到中选通知书后立即组织进场，同时承诺，根据工程的实际需要增加设备。</w:t>
      </w:r>
    </w:p>
    <w:p w14:paraId="2581BF48">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3、我公司承诺并完全接受招标人对本项目工程款项的监管。</w:t>
      </w:r>
    </w:p>
    <w:p w14:paraId="2DC00823">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4、我公司承诺，在工程的实施过程中，我们完全响应招标文件的所有条款，履行合同义务。质量检验标准绝不低于招标文件或国家及广东省、佛山市地方强制性标准要求。</w:t>
      </w:r>
    </w:p>
    <w:p w14:paraId="284EB08A">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5、我们完全响应和遵守招标文件及合同中规定的工程验收、计量、支付办法。</w:t>
      </w:r>
    </w:p>
    <w:p w14:paraId="0F48CB76">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6、我公司承诺，在工程施工过程中，一定遵照投标文件中承诺，精心施工，确保工程质量、安全生产满足相关规定和要求，并保护环境，按招标人要求的工期完工。</w:t>
      </w:r>
    </w:p>
    <w:p w14:paraId="23B7B4C6">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7、我公司承诺，在工程实施过程中，及时、足额发放所有的民工工资及相关费用。否则招标人有权动用全部或部分民工工资保证金用以发放民工工资及相关费用。</w:t>
      </w:r>
    </w:p>
    <w:p w14:paraId="4CF4BE67">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8、我公司承诺，在工程实施过程中，严格按照有关的规定做好各项安全保障措施。否则招标人有权为确保安全生产而动用部分或全部安全生产费另行委托其它单位实施安全保障措施。</w:t>
      </w:r>
    </w:p>
    <w:p w14:paraId="0230256A">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9、我公司承诺，在工程实施过程中，严格按照有关的规定做好施工现场与周边的临时交通维护与疏导措施。</w:t>
      </w:r>
    </w:p>
    <w:p w14:paraId="4884966D">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10、我公司承诺，在工程实施过程中，严格按照设计图纸及相关规范组织施工，并加强施工组织管理。如发生重大安全生产事故或重大工程质量事故，我方无条件承担全部法律责任。</w:t>
      </w:r>
    </w:p>
    <w:p w14:paraId="5D95BE7C">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right="141" w:rightChars="67" w:firstLine="424" w:firstLineChars="177"/>
        <w:jc w:val="left"/>
        <w:textAlignment w:val="auto"/>
        <w:outlineLvl w:val="7"/>
        <w:rPr>
          <w:sz w:val="24"/>
          <w:szCs w:val="24"/>
          <w:highlight w:val="none"/>
        </w:rPr>
      </w:pPr>
      <w:r>
        <w:rPr>
          <w:rFonts w:hint="eastAsia"/>
          <w:sz w:val="24"/>
          <w:szCs w:val="24"/>
          <w:highlight w:val="none"/>
        </w:rPr>
        <w:t>若我公司在工程实施过程中违背上述承诺，则招标人有权取消我公司中标的资格或解除施工合同，并有权对我公司处以经济处罚。</w:t>
      </w:r>
    </w:p>
    <w:p w14:paraId="58D0D275">
      <w:pPr>
        <w:keepNext w:val="0"/>
        <w:keepLines w:val="0"/>
        <w:pageBreakBefore w:val="0"/>
        <w:widowControl w:val="0"/>
        <w:wordWrap/>
        <w:topLinePunct w:val="0"/>
        <w:bidi w:val="0"/>
        <w:snapToGrid/>
        <w:spacing w:line="440" w:lineRule="exact"/>
        <w:ind w:left="6237" w:leftChars="2970" w:right="842" w:rightChars="401"/>
        <w:textAlignment w:val="auto"/>
        <w:rPr>
          <w:sz w:val="24"/>
          <w:szCs w:val="24"/>
          <w:highlight w:val="none"/>
        </w:rPr>
      </w:pPr>
    </w:p>
    <w:p w14:paraId="2F4E0792">
      <w:pPr>
        <w:keepNext w:val="0"/>
        <w:keepLines w:val="0"/>
        <w:pageBreakBefore w:val="0"/>
        <w:widowControl w:val="0"/>
        <w:wordWrap/>
        <w:topLinePunct w:val="0"/>
        <w:bidi w:val="0"/>
        <w:snapToGrid/>
        <w:spacing w:line="440" w:lineRule="exact"/>
        <w:ind w:left="6237" w:leftChars="2970" w:right="842" w:rightChars="401"/>
        <w:textAlignment w:val="auto"/>
        <w:rPr>
          <w:sz w:val="24"/>
          <w:szCs w:val="24"/>
          <w:highlight w:val="none"/>
          <w:u w:val="single"/>
        </w:rPr>
      </w:pPr>
      <w:r>
        <w:rPr>
          <w:rFonts w:hint="eastAsia"/>
          <w:sz w:val="24"/>
          <w:szCs w:val="24"/>
          <w:highlight w:val="none"/>
        </w:rPr>
        <w:t>投标人名称（盖章）：</w:t>
      </w: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p>
    <w:p w14:paraId="792E8953">
      <w:pPr>
        <w:keepNext w:val="0"/>
        <w:keepLines w:val="0"/>
        <w:pageBreakBefore w:val="0"/>
        <w:widowControl w:val="0"/>
        <w:wordWrap/>
        <w:topLinePunct w:val="0"/>
        <w:bidi w:val="0"/>
        <w:snapToGrid/>
        <w:spacing w:line="440" w:lineRule="exact"/>
        <w:ind w:left="5103" w:leftChars="2430" w:right="842" w:rightChars="401"/>
        <w:textAlignment w:val="auto"/>
        <w:rPr>
          <w:sz w:val="24"/>
          <w:szCs w:val="24"/>
          <w:highlight w:val="none"/>
        </w:rPr>
      </w:pPr>
      <w:r>
        <w:rPr>
          <w:rFonts w:hint="eastAsia"/>
          <w:sz w:val="24"/>
          <w:szCs w:val="24"/>
          <w:highlight w:val="none"/>
        </w:rPr>
        <w:t>法定代表人或其委托代理人：（签名）</w:t>
      </w:r>
    </w:p>
    <w:p w14:paraId="1BE641EA">
      <w:pPr>
        <w:keepNext w:val="0"/>
        <w:keepLines w:val="0"/>
        <w:pageBreakBefore w:val="0"/>
        <w:widowControl w:val="0"/>
        <w:wordWrap/>
        <w:topLinePunct w:val="0"/>
        <w:bidi w:val="0"/>
        <w:snapToGrid/>
        <w:spacing w:line="440" w:lineRule="exact"/>
        <w:ind w:left="6237" w:leftChars="2970" w:right="842" w:rightChars="401"/>
        <w:textAlignment w:val="auto"/>
        <w:rPr>
          <w:sz w:val="24"/>
          <w:szCs w:val="24"/>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r>
        <w:rPr>
          <w:sz w:val="24"/>
          <w:szCs w:val="24"/>
          <w:highlight w:val="none"/>
        </w:rPr>
        <w:t xml:space="preserve"> </w:t>
      </w:r>
      <w:r>
        <w:rPr>
          <w:sz w:val="24"/>
          <w:szCs w:val="24"/>
          <w:highlight w:val="none"/>
          <w:u w:val="single"/>
        </w:rPr>
        <w:tab/>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4FE93EA0">
      <w:pPr>
        <w:pStyle w:val="161"/>
        <w:spacing w:before="0" w:line="360" w:lineRule="auto"/>
        <w:ind w:firstLine="498"/>
        <w:jc w:val="center"/>
        <w:outlineLvl w:val="9"/>
        <w:rPr>
          <w:highlight w:val="none"/>
        </w:rPr>
      </w:pPr>
      <w:r>
        <w:rPr>
          <w:rFonts w:hint="eastAsia"/>
          <w:b/>
          <w:bCs/>
          <w:highlight w:val="none"/>
        </w:rPr>
        <w:t>四、</w:t>
      </w:r>
      <w:bookmarkStart w:id="240" w:name="_Toc354672421"/>
      <w:r>
        <w:rPr>
          <w:rFonts w:hint="eastAsia"/>
          <w:b/>
          <w:bCs/>
          <w:highlight w:val="none"/>
        </w:rPr>
        <w:t>法定代表人身份证明</w:t>
      </w:r>
      <w:bookmarkEnd w:id="240"/>
    </w:p>
    <w:p w14:paraId="3AD004C6">
      <w:pPr>
        <w:spacing w:line="400" w:lineRule="exact"/>
        <w:rPr>
          <w:rFonts w:hAnsi="宋体"/>
          <w:sz w:val="24"/>
          <w:highlight w:val="none"/>
        </w:rPr>
      </w:pPr>
    </w:p>
    <w:p w14:paraId="1024C6E4">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单位名称：_______________________________________________________</w:t>
      </w:r>
    </w:p>
    <w:p w14:paraId="05A7C472">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单位性质：_______________________________________________________</w:t>
      </w:r>
    </w:p>
    <w:p w14:paraId="2F13CA8A">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地    址：_______________________________________________________</w:t>
      </w:r>
    </w:p>
    <w:p w14:paraId="4BB1DC1B">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成立时间：____________年_______月_______日</w:t>
      </w:r>
    </w:p>
    <w:p w14:paraId="1E2A0EA2">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经营期限：________________________________________________________</w:t>
      </w:r>
    </w:p>
    <w:p w14:paraId="1C4F79DB">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姓    名：_________； 身份证号码：_________；性别：_________； 年龄：____；</w:t>
      </w:r>
    </w:p>
    <w:p w14:paraId="0A8FC875">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b/>
          <w:sz w:val="24"/>
          <w:szCs w:val="24"/>
          <w:highlight w:val="none"/>
          <w:u w:val="single"/>
        </w:rPr>
      </w:pPr>
      <w:r>
        <w:rPr>
          <w:rFonts w:hint="eastAsia" w:hAnsi="宋体" w:cs="宋体"/>
          <w:sz w:val="24"/>
          <w:szCs w:val="24"/>
          <w:highlight w:val="none"/>
        </w:rPr>
        <w:t>职    务：_________ ；联系电话（手机）：_________ 。</w:t>
      </w:r>
    </w:p>
    <w:p w14:paraId="05AAC569">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系</w:t>
      </w:r>
      <w:r>
        <w:rPr>
          <w:rFonts w:hint="eastAsia" w:hAnsi="宋体" w:cs="宋体"/>
          <w:sz w:val="24"/>
          <w:szCs w:val="24"/>
          <w:highlight w:val="none"/>
          <w:u w:val="single"/>
        </w:rPr>
        <w:t xml:space="preserve">            （投标人单位名称）            </w:t>
      </w:r>
      <w:r>
        <w:rPr>
          <w:rFonts w:hint="eastAsia" w:hAnsi="宋体" w:cs="宋体"/>
          <w:sz w:val="24"/>
          <w:szCs w:val="24"/>
          <w:highlight w:val="none"/>
        </w:rPr>
        <w:t>的法定代表人。</w:t>
      </w:r>
    </w:p>
    <w:p w14:paraId="694F13B0">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p>
    <w:p w14:paraId="600FBFCF">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r>
        <w:rPr>
          <w:rFonts w:hint="eastAsia" w:hAnsi="宋体"/>
          <w:sz w:val="24"/>
          <w:highlight w:val="none"/>
        </w:rPr>
        <w:t>特此证明。</w:t>
      </w:r>
    </w:p>
    <w:p w14:paraId="4DD76E05">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p>
    <w:p w14:paraId="1D5C53D3">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p>
    <w:p w14:paraId="650803F8">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Ansi="宋体" w:cs="宋体"/>
          <w:sz w:val="24"/>
          <w:szCs w:val="24"/>
          <w:highlight w:val="none"/>
        </w:rPr>
      </w:pPr>
      <w:r>
        <w:rPr>
          <w:rFonts w:hint="eastAsia" w:hAnsi="宋体" w:cs="宋体"/>
          <w:sz w:val="24"/>
          <w:szCs w:val="24"/>
          <w:highlight w:val="none"/>
        </w:rPr>
        <w:t>投标人：____________________（盖单位章）</w:t>
      </w:r>
    </w:p>
    <w:p w14:paraId="1FA3BFFC">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Ansi="宋体" w:cs="宋体"/>
          <w:sz w:val="24"/>
          <w:szCs w:val="24"/>
          <w:highlight w:val="none"/>
        </w:rPr>
      </w:pPr>
    </w:p>
    <w:p w14:paraId="33802B99">
      <w:pPr>
        <w:keepNext w:val="0"/>
        <w:keepLines w:val="0"/>
        <w:pageBreakBefore w:val="0"/>
        <w:widowControl w:val="0"/>
        <w:kinsoku/>
        <w:wordWrap/>
        <w:overflowPunct/>
        <w:topLinePunct w:val="0"/>
        <w:autoSpaceDE/>
        <w:autoSpaceDN/>
        <w:bidi w:val="0"/>
        <w:adjustRightInd/>
        <w:snapToGrid/>
        <w:spacing w:line="440" w:lineRule="exact"/>
        <w:ind w:firstLine="5760" w:firstLineChars="2400"/>
        <w:textAlignment w:val="auto"/>
        <w:rPr>
          <w:rFonts w:hAnsi="宋体" w:cs="宋体"/>
          <w:sz w:val="24"/>
          <w:szCs w:val="24"/>
          <w:highlight w:val="none"/>
        </w:rPr>
      </w:pPr>
      <w:r>
        <w:rPr>
          <w:rFonts w:hint="eastAsia" w:hAnsi="宋体" w:cs="宋体"/>
          <w:sz w:val="24"/>
          <w:szCs w:val="24"/>
          <w:highlight w:val="none"/>
          <w:u w:val="single"/>
        </w:rPr>
        <w:t xml:space="preserve">      年     月    日</w:t>
      </w:r>
    </w:p>
    <w:p w14:paraId="389A7C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49CAF3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41C34A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6FA3F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4E52AA20">
      <w:pPr>
        <w:keepNext w:val="0"/>
        <w:keepLines w:val="0"/>
        <w:pageBreakBefore w:val="0"/>
        <w:widowControl w:val="0"/>
        <w:kinsoku/>
        <w:wordWrap/>
        <w:overflowPunct/>
        <w:topLinePunct w:val="0"/>
        <w:autoSpaceDE/>
        <w:autoSpaceDN/>
        <w:bidi w:val="0"/>
        <w:adjustRightInd/>
        <w:snapToGrid/>
        <w:spacing w:line="440" w:lineRule="exact"/>
        <w:ind w:firstLine="426"/>
        <w:textAlignment w:val="auto"/>
        <w:rPr>
          <w:rFonts w:hint="eastAsia" w:ascii="宋体" w:hAnsi="宋体" w:eastAsia="宋体" w:cs="宋体"/>
          <w:b/>
          <w:sz w:val="24"/>
          <w:highlight w:val="none"/>
        </w:rPr>
      </w:pPr>
      <w:r>
        <w:rPr>
          <w:rFonts w:hint="eastAsia" w:ascii="宋体" w:hAnsi="宋体" w:eastAsia="宋体" w:cs="宋体"/>
          <w:b/>
          <w:sz w:val="24"/>
          <w:highlight w:val="none"/>
        </w:rPr>
        <w:t>注：1.投标人应保证所提供的联系电话有效，以保证能及时通知投标人，否则由此引起的一切后果由投标人承担。</w:t>
      </w:r>
    </w:p>
    <w:p w14:paraId="2D1E535A">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2.开标评标会议期间，评标委员会如果认为有必要，要求投标人对投标文件含义不明确的内容作必要的澄清或说明时，投标人的法定代表人或其授权代理人应在30分钟内按评标委员会要求进行澄清或说明，否则，投标人须自行承担后果。</w:t>
      </w:r>
    </w:p>
    <w:p w14:paraId="17BDC59E">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3.本法定代表人身份证明后必须附上法定代表人的身份证复印件（加盖投标人公章）。</w:t>
      </w:r>
    </w:p>
    <w:p w14:paraId="1E9228A7">
      <w:pPr>
        <w:ind w:firstLine="472" w:firstLineChars="196"/>
        <w:rPr>
          <w:rFonts w:ascii="黑体" w:hAnsi="宋体" w:eastAsia="黑体"/>
          <w:b/>
          <w:sz w:val="24"/>
          <w:highlight w:val="none"/>
        </w:rPr>
      </w:pPr>
    </w:p>
    <w:p w14:paraId="7B41C0DD">
      <w:pPr>
        <w:ind w:firstLine="426"/>
        <w:rPr>
          <w:rFonts w:ascii="黑体" w:hAnsi="宋体" w:eastAsia="黑体"/>
          <w:b/>
          <w:sz w:val="24"/>
          <w:highlight w:val="none"/>
        </w:rPr>
      </w:pPr>
    </w:p>
    <w:p w14:paraId="74198054">
      <w:pPr>
        <w:pStyle w:val="161"/>
        <w:spacing w:line="360" w:lineRule="auto"/>
        <w:ind w:firstLine="533"/>
        <w:jc w:val="center"/>
        <w:outlineLvl w:val="9"/>
        <w:rPr>
          <w:highlight w:val="none"/>
        </w:rPr>
      </w:pPr>
      <w:r>
        <w:rPr>
          <w:b/>
          <w:sz w:val="30"/>
          <w:szCs w:val="30"/>
          <w:highlight w:val="none"/>
        </w:rPr>
        <w:br w:type="page"/>
      </w:r>
      <w:bookmarkStart w:id="241" w:name="_Toc306284257"/>
      <w:bookmarkStart w:id="242" w:name="_Toc354672422"/>
      <w:r>
        <w:rPr>
          <w:rFonts w:hint="eastAsia"/>
          <w:b/>
          <w:bCs/>
          <w:highlight w:val="none"/>
        </w:rPr>
        <w:t>五、授权委托书</w:t>
      </w:r>
      <w:bookmarkEnd w:id="241"/>
      <w:bookmarkEnd w:id="242"/>
    </w:p>
    <w:p w14:paraId="59E54B58">
      <w:pPr>
        <w:rPr>
          <w:rFonts w:hAnsi="宋体"/>
          <w:sz w:val="24"/>
          <w:highlight w:val="none"/>
        </w:rPr>
      </w:pPr>
    </w:p>
    <w:p w14:paraId="5F80355E">
      <w:pPr>
        <w:rPr>
          <w:rFonts w:hAnsi="宋体"/>
          <w:sz w:val="24"/>
          <w:highlight w:val="none"/>
        </w:rPr>
      </w:pPr>
    </w:p>
    <w:p w14:paraId="5652F089">
      <w:pPr>
        <w:keepNext w:val="0"/>
        <w:keepLines w:val="0"/>
        <w:pageBreakBefore w:val="0"/>
        <w:widowControl w:val="0"/>
        <w:kinsoku/>
        <w:overflowPunct/>
        <w:topLinePunct w:val="0"/>
        <w:bidi w:val="0"/>
        <w:snapToGrid/>
        <w:spacing w:line="440" w:lineRule="exact"/>
        <w:ind w:firstLine="425"/>
        <w:textAlignment w:val="auto"/>
        <w:rPr>
          <w:rFonts w:hint="eastAsia" w:ascii="宋体" w:hAnsi="宋体" w:eastAsia="宋体" w:cs="宋体"/>
          <w:sz w:val="24"/>
          <w:highlight w:val="none"/>
        </w:rPr>
      </w:pPr>
      <w:r>
        <w:rPr>
          <w:rFonts w:hint="eastAsia" w:ascii="宋体" w:hAnsi="宋体" w:eastAsia="宋体" w:cs="宋体"/>
          <w:sz w:val="24"/>
          <w:highlight w:val="none"/>
        </w:rPr>
        <w:t>本人____________（姓名）系</w:t>
      </w:r>
      <w:r>
        <w:rPr>
          <w:rFonts w:hint="eastAsia" w:ascii="宋体" w:hAnsi="宋体" w:eastAsia="宋体" w:cs="宋体"/>
          <w:sz w:val="24"/>
          <w:highlight w:val="none"/>
          <w:u w:val="single"/>
        </w:rPr>
        <w:t>（投标人名称    ）</w:t>
      </w:r>
      <w:r>
        <w:rPr>
          <w:rFonts w:hint="eastAsia" w:ascii="宋体" w:hAnsi="宋体" w:eastAsia="宋体" w:cs="宋体"/>
          <w:sz w:val="24"/>
          <w:highlight w:val="none"/>
        </w:rPr>
        <w:t>的法定代表人，现委托</w:t>
      </w:r>
      <w:r>
        <w:rPr>
          <w:rFonts w:hint="eastAsia" w:ascii="宋体" w:hAnsi="宋体" w:eastAsia="宋体" w:cs="宋体"/>
          <w:sz w:val="24"/>
          <w:highlight w:val="none"/>
          <w:u w:val="single"/>
        </w:rPr>
        <w:t>（姓名   ）</w:t>
      </w:r>
      <w:r>
        <w:rPr>
          <w:rFonts w:hint="eastAsia" w:ascii="宋体" w:hAnsi="宋体" w:eastAsia="宋体" w:cs="宋体"/>
          <w:sz w:val="24"/>
          <w:highlight w:val="none"/>
        </w:rPr>
        <w:t>为我方代理人。该代理人为我单位参加</w:t>
      </w:r>
      <w:r>
        <w:rPr>
          <w:rFonts w:hint="eastAsia" w:ascii="宋体" w:hAnsi="宋体" w:eastAsia="宋体" w:cs="宋体"/>
          <w:sz w:val="24"/>
          <w:highlight w:val="none"/>
          <w:u w:val="single"/>
        </w:rPr>
        <w:t>（项目名称   ）</w:t>
      </w:r>
      <w:r>
        <w:rPr>
          <w:rFonts w:hint="eastAsia" w:ascii="宋体" w:hAnsi="宋体" w:eastAsia="宋体" w:cs="宋体"/>
          <w:sz w:val="24"/>
          <w:highlight w:val="none"/>
        </w:rPr>
        <w:t>投标的直接责任人，代理人根据授权，以我方名义签署、澄清、说明、补正、递交、撤回、修改</w:t>
      </w:r>
      <w:r>
        <w:rPr>
          <w:rFonts w:hint="eastAsia" w:ascii="宋体" w:hAnsi="宋体" w:eastAsia="宋体" w:cs="宋体"/>
          <w:sz w:val="24"/>
          <w:highlight w:val="none"/>
          <w:u w:val="single"/>
        </w:rPr>
        <w:t>（项目名称   ）</w:t>
      </w:r>
      <w:r>
        <w:rPr>
          <w:rFonts w:hint="eastAsia" w:ascii="宋体" w:hAnsi="宋体" w:eastAsia="宋体" w:cs="宋体"/>
          <w:sz w:val="24"/>
          <w:highlight w:val="none"/>
        </w:rPr>
        <w:t>投标文件、签订合同和处理有关事宜，其法律后果由我方承担。</w:t>
      </w:r>
    </w:p>
    <w:p w14:paraId="395A2EEC">
      <w:pPr>
        <w:keepNext w:val="0"/>
        <w:keepLines w:val="0"/>
        <w:pageBreakBefore w:val="0"/>
        <w:widowControl w:val="0"/>
        <w:kinsoku/>
        <w:overflowPunct/>
        <w:topLinePunct w:val="0"/>
        <w:bidi w:val="0"/>
        <w:snapToGrid/>
        <w:spacing w:line="440" w:lineRule="exact"/>
        <w:ind w:firstLine="425"/>
        <w:textAlignment w:val="auto"/>
        <w:rPr>
          <w:rFonts w:hint="eastAsia" w:ascii="宋体" w:hAnsi="宋体" w:eastAsia="宋体" w:cs="宋体"/>
          <w:sz w:val="24"/>
          <w:highlight w:val="none"/>
        </w:rPr>
      </w:pPr>
      <w:r>
        <w:rPr>
          <w:rFonts w:hint="eastAsia" w:ascii="宋体" w:hAnsi="宋体" w:eastAsia="宋体" w:cs="宋体"/>
          <w:sz w:val="24"/>
          <w:highlight w:val="none"/>
        </w:rPr>
        <w:t>委托期限：</w:t>
      </w:r>
      <w:r>
        <w:rPr>
          <w:rFonts w:hint="eastAsia" w:ascii="宋体" w:hAnsi="宋体" w:eastAsia="宋体" w:cs="宋体"/>
          <w:sz w:val="24"/>
          <w:highlight w:val="none"/>
          <w:u w:val="single"/>
        </w:rPr>
        <w:t xml:space="preserve">                    。</w:t>
      </w:r>
    </w:p>
    <w:p w14:paraId="2FD9FBB9">
      <w:pPr>
        <w:keepNext w:val="0"/>
        <w:keepLines w:val="0"/>
        <w:pageBreakBefore w:val="0"/>
        <w:widowControl w:val="0"/>
        <w:kinsoku/>
        <w:overflowPunct/>
        <w:topLinePunct w:val="0"/>
        <w:bidi w:val="0"/>
        <w:snapToGrid/>
        <w:spacing w:line="440" w:lineRule="exact"/>
        <w:ind w:firstLine="425"/>
        <w:textAlignment w:val="auto"/>
        <w:rPr>
          <w:rFonts w:hint="eastAsia" w:ascii="宋体" w:hAnsi="宋体" w:eastAsia="宋体" w:cs="宋体"/>
          <w:sz w:val="24"/>
          <w:highlight w:val="none"/>
        </w:rPr>
      </w:pPr>
      <w:r>
        <w:rPr>
          <w:rFonts w:hint="eastAsia" w:ascii="宋体" w:hAnsi="宋体" w:eastAsia="宋体" w:cs="宋体"/>
          <w:sz w:val="24"/>
          <w:highlight w:val="none"/>
        </w:rPr>
        <w:t>代理人无转委托权。</w:t>
      </w:r>
    </w:p>
    <w:p w14:paraId="1EB4FE88">
      <w:pPr>
        <w:keepNext w:val="0"/>
        <w:keepLines w:val="0"/>
        <w:pageBreakBefore w:val="0"/>
        <w:widowControl w:val="0"/>
        <w:kinsoku/>
        <w:overflowPunct/>
        <w:topLinePunct w:val="0"/>
        <w:bidi w:val="0"/>
        <w:snapToGrid/>
        <w:spacing w:line="440" w:lineRule="exact"/>
        <w:textAlignment w:val="auto"/>
        <w:rPr>
          <w:rFonts w:hint="eastAsia" w:ascii="宋体" w:hAnsi="宋体" w:eastAsia="宋体" w:cs="宋体"/>
          <w:sz w:val="24"/>
          <w:highlight w:val="none"/>
        </w:rPr>
      </w:pPr>
    </w:p>
    <w:p w14:paraId="7668D78B">
      <w:pPr>
        <w:keepNext w:val="0"/>
        <w:keepLines w:val="0"/>
        <w:pageBreakBefore w:val="0"/>
        <w:widowControl w:val="0"/>
        <w:kinsoku/>
        <w:overflowPunct/>
        <w:topLinePunct w:val="0"/>
        <w:bidi w:val="0"/>
        <w:snapToGrid/>
        <w:spacing w:line="440" w:lineRule="exact"/>
        <w:textAlignment w:val="auto"/>
        <w:rPr>
          <w:rFonts w:hint="eastAsia" w:ascii="宋体" w:hAnsi="宋体" w:eastAsia="宋体" w:cs="宋体"/>
          <w:sz w:val="24"/>
          <w:highlight w:val="none"/>
        </w:rPr>
      </w:pPr>
    </w:p>
    <w:p w14:paraId="0E54F375">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投标人：____________________（盖单位章） </w:t>
      </w:r>
    </w:p>
    <w:p w14:paraId="0B88CA93">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p>
    <w:p w14:paraId="19D66253">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 xml:space="preserve">（签字） </w:t>
      </w:r>
    </w:p>
    <w:p w14:paraId="3D5E4EDE">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p>
    <w:p w14:paraId="142C30DB">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委托代理人：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 xml:space="preserve">（签字）                           </w:t>
      </w:r>
    </w:p>
    <w:p w14:paraId="6B70610D">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身份证号码：____________________</w:t>
      </w:r>
    </w:p>
    <w:p w14:paraId="2F89F33D">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p>
    <w:p w14:paraId="709D8335">
      <w:pPr>
        <w:keepNext w:val="0"/>
        <w:keepLines w:val="0"/>
        <w:pageBreakBefore w:val="0"/>
        <w:widowControl w:val="0"/>
        <w:kinsoku/>
        <w:overflowPunct/>
        <w:topLinePunct w:val="0"/>
        <w:autoSpaceDE w:val="0"/>
        <w:autoSpaceDN w:val="0"/>
        <w:bidi w:val="0"/>
        <w:adjustRightInd w:val="0"/>
        <w:snapToGrid/>
        <w:spacing w:line="440" w:lineRule="exact"/>
        <w:ind w:right="480"/>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代理人联系电话（手机）：____________</w:t>
      </w:r>
    </w:p>
    <w:p w14:paraId="6F846E0A">
      <w:pPr>
        <w:keepNext w:val="0"/>
        <w:keepLines w:val="0"/>
        <w:pageBreakBefore w:val="0"/>
        <w:widowControl w:val="0"/>
        <w:kinsoku/>
        <w:overflowPunct/>
        <w:topLinePunct w:val="0"/>
        <w:bidi w:val="0"/>
        <w:snapToGrid/>
        <w:spacing w:line="440" w:lineRule="exact"/>
        <w:jc w:val="center"/>
        <w:textAlignment w:val="auto"/>
        <w:rPr>
          <w:rFonts w:hint="eastAsia" w:ascii="宋体" w:hAnsi="宋体" w:eastAsia="宋体" w:cs="宋体"/>
          <w:sz w:val="24"/>
          <w:szCs w:val="24"/>
          <w:highlight w:val="none"/>
        </w:rPr>
      </w:pPr>
    </w:p>
    <w:p w14:paraId="17953CAD">
      <w:pPr>
        <w:keepNext w:val="0"/>
        <w:keepLines w:val="0"/>
        <w:pageBreakBefore w:val="0"/>
        <w:widowControl w:val="0"/>
        <w:kinsoku/>
        <w:overflowPunct/>
        <w:topLinePunct w:val="0"/>
        <w:bidi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时          间：</w:t>
      </w:r>
      <w:r>
        <w:rPr>
          <w:rFonts w:hint="eastAsia" w:ascii="宋体" w:hAnsi="宋体" w:eastAsia="宋体" w:cs="宋体"/>
          <w:sz w:val="24"/>
          <w:szCs w:val="24"/>
          <w:highlight w:val="none"/>
          <w:u w:val="single"/>
        </w:rPr>
        <w:t xml:space="preserve">       年     月    日</w:t>
      </w:r>
    </w:p>
    <w:p w14:paraId="314F1693">
      <w:pPr>
        <w:keepNext w:val="0"/>
        <w:keepLines w:val="0"/>
        <w:pageBreakBefore w:val="0"/>
        <w:widowControl w:val="0"/>
        <w:kinsoku/>
        <w:overflowPunct/>
        <w:topLinePunct w:val="0"/>
        <w:bidi w:val="0"/>
        <w:snapToGrid/>
        <w:spacing w:line="440" w:lineRule="exact"/>
        <w:ind w:firstLine="426"/>
        <w:textAlignment w:val="auto"/>
        <w:rPr>
          <w:rFonts w:hint="eastAsia" w:ascii="宋体" w:hAnsi="宋体" w:eastAsia="宋体" w:cs="宋体"/>
          <w:b/>
          <w:sz w:val="24"/>
          <w:highlight w:val="none"/>
        </w:rPr>
      </w:pPr>
    </w:p>
    <w:p w14:paraId="4B8C3F7A">
      <w:pPr>
        <w:keepNext w:val="0"/>
        <w:keepLines w:val="0"/>
        <w:pageBreakBefore w:val="0"/>
        <w:widowControl w:val="0"/>
        <w:kinsoku/>
        <w:overflowPunct/>
        <w:topLinePunct w:val="0"/>
        <w:bidi w:val="0"/>
        <w:snapToGrid/>
        <w:spacing w:line="440" w:lineRule="exact"/>
        <w:ind w:firstLine="426"/>
        <w:textAlignment w:val="auto"/>
        <w:rPr>
          <w:rFonts w:hint="eastAsia" w:ascii="宋体" w:hAnsi="宋体" w:eastAsia="宋体" w:cs="宋体"/>
          <w:b/>
          <w:sz w:val="24"/>
          <w:highlight w:val="none"/>
        </w:rPr>
      </w:pPr>
      <w:r>
        <w:rPr>
          <w:rFonts w:hint="eastAsia" w:ascii="宋体" w:hAnsi="宋体" w:eastAsia="宋体" w:cs="宋体"/>
          <w:b/>
          <w:sz w:val="24"/>
          <w:highlight w:val="none"/>
        </w:rPr>
        <w:t>注：1.投标人应保证所提供的联系电话有效，以保证能及时通知投标人，否则由此引起的一切后果由投标人承担。</w:t>
      </w:r>
    </w:p>
    <w:p w14:paraId="7912CC3F">
      <w:pPr>
        <w:keepNext w:val="0"/>
        <w:keepLines w:val="0"/>
        <w:pageBreakBefore w:val="0"/>
        <w:widowControl w:val="0"/>
        <w:kinsoku/>
        <w:overflowPunct/>
        <w:topLinePunct w:val="0"/>
        <w:bidi w:val="0"/>
        <w:snapToGrid/>
        <w:spacing w:line="440" w:lineRule="exact"/>
        <w:ind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2.开标评标会议期间，评标委员会如果认为有必要，要求投标人对投标文件含义不明确的内容作必要的澄清或说明时，投标人的法定代表人或其授权代理人应在30分钟内按评标委员会要求进行澄清或说明，否则，投标人须自行承担后果。</w:t>
      </w:r>
    </w:p>
    <w:p w14:paraId="6128EA36">
      <w:pPr>
        <w:keepNext w:val="0"/>
        <w:keepLines w:val="0"/>
        <w:pageBreakBefore w:val="0"/>
        <w:widowControl w:val="0"/>
        <w:kinsoku/>
        <w:overflowPunct/>
        <w:topLinePunct w:val="0"/>
        <w:bidi w:val="0"/>
        <w:snapToGrid/>
        <w:spacing w:line="440" w:lineRule="exact"/>
        <w:ind w:firstLine="472" w:firstLineChars="196"/>
        <w:textAlignment w:val="auto"/>
        <w:rPr>
          <w:rFonts w:hAnsi="宋体"/>
          <w:b/>
          <w:sz w:val="24"/>
          <w:highlight w:val="none"/>
        </w:rPr>
      </w:pPr>
      <w:r>
        <w:rPr>
          <w:rFonts w:hint="eastAsia" w:ascii="宋体" w:hAnsi="宋体" w:eastAsia="宋体" w:cs="宋体"/>
          <w:b/>
          <w:sz w:val="24"/>
          <w:highlight w:val="none"/>
        </w:rPr>
        <w:t>3.本授权委托书后必须附上被授权代理人的身份证复印件（加盖投标人公章）。</w:t>
      </w:r>
    </w:p>
    <w:p w14:paraId="2145F0D0">
      <w:pPr>
        <w:pStyle w:val="161"/>
        <w:ind w:firstLine="496"/>
        <w:jc w:val="center"/>
        <w:outlineLvl w:val="9"/>
        <w:rPr>
          <w:rFonts w:ascii="黑体" w:hAnsi="宋体"/>
          <w:highlight w:val="none"/>
        </w:rPr>
      </w:pPr>
      <w:r>
        <w:rPr>
          <w:rFonts w:ascii="黑体" w:hAnsi="宋体"/>
          <w:highlight w:val="none"/>
        </w:rPr>
        <w:br w:type="page"/>
      </w:r>
      <w:bookmarkStart w:id="243" w:name="_Toc354672423"/>
      <w:r>
        <w:rPr>
          <w:rFonts w:hint="eastAsia"/>
          <w:b/>
          <w:bCs/>
          <w:highlight w:val="none"/>
        </w:rPr>
        <w:t>六、资格证明资料</w:t>
      </w:r>
    </w:p>
    <w:p w14:paraId="745FDD01">
      <w:pPr>
        <w:pStyle w:val="161"/>
        <w:jc w:val="center"/>
        <w:outlineLvl w:val="9"/>
        <w:rPr>
          <w:highlight w:val="none"/>
        </w:rPr>
      </w:pPr>
      <w:r>
        <w:rPr>
          <w:rFonts w:hint="eastAsia" w:ascii="宋体" w:cs="Times New Roman"/>
          <w:sz w:val="24"/>
          <w:szCs w:val="24"/>
          <w:highlight w:val="none"/>
        </w:rPr>
        <w:t>附表一  投标人基本情况表</w:t>
      </w:r>
      <w:bookmarkEnd w:id="243"/>
    </w:p>
    <w:p w14:paraId="100944BD">
      <w:pPr>
        <w:rPr>
          <w:rFonts w:hAnsi="宋体"/>
          <w:sz w:val="24"/>
          <w:highlight w:val="none"/>
        </w:rPr>
      </w:pPr>
    </w:p>
    <w:tbl>
      <w:tblPr>
        <w:tblStyle w:val="6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49"/>
        <w:gridCol w:w="800"/>
        <w:gridCol w:w="840"/>
        <w:gridCol w:w="420"/>
        <w:gridCol w:w="311"/>
        <w:gridCol w:w="1078"/>
        <w:gridCol w:w="490"/>
        <w:gridCol w:w="860"/>
        <w:gridCol w:w="992"/>
      </w:tblGrid>
      <w:tr w14:paraId="38B9C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68F42BC">
            <w:pPr>
              <w:topLinePunct/>
              <w:spacing w:line="440" w:lineRule="exact"/>
              <w:jc w:val="center"/>
              <w:rPr>
                <w:rFonts w:hAnsi="宋体"/>
                <w:sz w:val="24"/>
                <w:highlight w:val="none"/>
              </w:rPr>
            </w:pPr>
            <w:r>
              <w:rPr>
                <w:rFonts w:hAnsi="宋体"/>
                <w:sz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FA56C51">
            <w:pPr>
              <w:topLinePunct/>
              <w:spacing w:line="440" w:lineRule="exact"/>
              <w:jc w:val="center"/>
              <w:rPr>
                <w:rFonts w:hAnsi="宋体"/>
                <w:sz w:val="24"/>
                <w:highlight w:val="none"/>
              </w:rPr>
            </w:pPr>
          </w:p>
        </w:tc>
      </w:tr>
      <w:tr w14:paraId="0FB9A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36C8DE5">
            <w:pPr>
              <w:topLinePunct/>
              <w:spacing w:line="440" w:lineRule="exact"/>
              <w:jc w:val="center"/>
              <w:rPr>
                <w:rFonts w:hAnsi="宋体"/>
                <w:sz w:val="24"/>
                <w:highlight w:val="none"/>
              </w:rPr>
            </w:pPr>
            <w:r>
              <w:rPr>
                <w:rFonts w:hAnsi="宋体"/>
                <w:sz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4713A3E9">
            <w:pPr>
              <w:topLinePunct/>
              <w:spacing w:line="440" w:lineRule="exact"/>
              <w:jc w:val="center"/>
              <w:rPr>
                <w:rFonts w:hAnsi="宋体"/>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2DBC7559">
            <w:pPr>
              <w:topLinePunct/>
              <w:spacing w:line="440" w:lineRule="exact"/>
              <w:jc w:val="center"/>
              <w:rPr>
                <w:rFonts w:hAnsi="宋体"/>
                <w:sz w:val="24"/>
                <w:highlight w:val="none"/>
              </w:rPr>
            </w:pPr>
            <w:r>
              <w:rPr>
                <w:rFonts w:hAnsi="宋体"/>
                <w:sz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7E0A389">
            <w:pPr>
              <w:topLinePunct/>
              <w:spacing w:line="440" w:lineRule="exact"/>
              <w:jc w:val="center"/>
              <w:rPr>
                <w:rFonts w:hAnsi="宋体"/>
                <w:sz w:val="24"/>
                <w:highlight w:val="none"/>
              </w:rPr>
            </w:pPr>
          </w:p>
        </w:tc>
      </w:tr>
      <w:tr w14:paraId="37EA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D9AF839">
            <w:pPr>
              <w:topLinePunct/>
              <w:spacing w:line="440" w:lineRule="exact"/>
              <w:jc w:val="center"/>
              <w:rPr>
                <w:rFonts w:hAnsi="宋体"/>
                <w:sz w:val="24"/>
                <w:highlight w:val="none"/>
              </w:rPr>
            </w:pPr>
            <w:r>
              <w:rPr>
                <w:rFonts w:hAnsi="宋体"/>
                <w:sz w:val="24"/>
                <w:highlight w:val="none"/>
              </w:rPr>
              <w:t>联系方式</w:t>
            </w:r>
          </w:p>
        </w:tc>
        <w:tc>
          <w:tcPr>
            <w:tcW w:w="1049" w:type="dxa"/>
            <w:tcBorders>
              <w:top w:val="single" w:color="auto" w:sz="4" w:space="0"/>
              <w:left w:val="single" w:color="auto" w:sz="4" w:space="0"/>
              <w:bottom w:val="single" w:color="auto" w:sz="4" w:space="0"/>
              <w:right w:val="single" w:color="auto" w:sz="4" w:space="0"/>
            </w:tcBorders>
            <w:vAlign w:val="center"/>
          </w:tcPr>
          <w:p w14:paraId="60D0362A">
            <w:pPr>
              <w:topLinePunct/>
              <w:spacing w:line="440" w:lineRule="exact"/>
              <w:jc w:val="center"/>
              <w:rPr>
                <w:rFonts w:hAnsi="宋体"/>
                <w:sz w:val="24"/>
                <w:highlight w:val="none"/>
              </w:rPr>
            </w:pPr>
            <w:r>
              <w:rPr>
                <w:rFonts w:hAnsi="宋体"/>
                <w:sz w:val="24"/>
                <w:highlight w:val="none"/>
              </w:rPr>
              <w:t>联系人</w:t>
            </w:r>
          </w:p>
        </w:tc>
        <w:tc>
          <w:tcPr>
            <w:tcW w:w="2371" w:type="dxa"/>
            <w:gridSpan w:val="4"/>
            <w:tcBorders>
              <w:top w:val="single" w:color="auto" w:sz="4" w:space="0"/>
              <w:left w:val="single" w:color="auto" w:sz="4" w:space="0"/>
              <w:bottom w:val="single" w:color="auto" w:sz="4" w:space="0"/>
              <w:right w:val="single" w:color="auto" w:sz="4" w:space="0"/>
            </w:tcBorders>
            <w:vAlign w:val="center"/>
          </w:tcPr>
          <w:p w14:paraId="02E1BC9E">
            <w:pPr>
              <w:topLinePunct/>
              <w:spacing w:line="440" w:lineRule="exact"/>
              <w:jc w:val="center"/>
              <w:rPr>
                <w:rFonts w:hAnsi="宋体"/>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274AA54">
            <w:pPr>
              <w:topLinePunct/>
              <w:spacing w:line="440" w:lineRule="exact"/>
              <w:jc w:val="center"/>
              <w:rPr>
                <w:rFonts w:hAnsi="宋体"/>
                <w:sz w:val="24"/>
                <w:highlight w:val="none"/>
              </w:rPr>
            </w:pPr>
            <w:r>
              <w:rPr>
                <w:rFonts w:hAnsi="宋体"/>
                <w:sz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FDF397E">
            <w:pPr>
              <w:topLinePunct/>
              <w:spacing w:line="440" w:lineRule="exact"/>
              <w:jc w:val="center"/>
              <w:rPr>
                <w:rFonts w:hAnsi="宋体"/>
                <w:sz w:val="24"/>
                <w:highlight w:val="none"/>
              </w:rPr>
            </w:pPr>
          </w:p>
        </w:tc>
      </w:tr>
      <w:tr w14:paraId="70CE6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869B51C">
            <w:pPr>
              <w:topLinePunct/>
              <w:spacing w:line="440" w:lineRule="exact"/>
              <w:jc w:val="center"/>
              <w:rPr>
                <w:rFonts w:hAnsi="宋体"/>
                <w:sz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2C80C223">
            <w:pPr>
              <w:topLinePunct/>
              <w:spacing w:line="440" w:lineRule="exact"/>
              <w:jc w:val="center"/>
              <w:rPr>
                <w:rFonts w:hAnsi="宋体"/>
                <w:sz w:val="24"/>
                <w:highlight w:val="none"/>
              </w:rPr>
            </w:pPr>
            <w:r>
              <w:rPr>
                <w:rFonts w:hAnsi="宋体"/>
                <w:sz w:val="24"/>
                <w:highlight w:val="none"/>
              </w:rPr>
              <w:t>传  真</w:t>
            </w:r>
          </w:p>
        </w:tc>
        <w:tc>
          <w:tcPr>
            <w:tcW w:w="2371" w:type="dxa"/>
            <w:gridSpan w:val="4"/>
            <w:tcBorders>
              <w:top w:val="single" w:color="auto" w:sz="4" w:space="0"/>
              <w:left w:val="single" w:color="auto" w:sz="4" w:space="0"/>
              <w:bottom w:val="single" w:color="auto" w:sz="4" w:space="0"/>
              <w:right w:val="single" w:color="auto" w:sz="4" w:space="0"/>
            </w:tcBorders>
            <w:vAlign w:val="center"/>
          </w:tcPr>
          <w:p w14:paraId="3F0F0B3B">
            <w:pPr>
              <w:topLinePunct/>
              <w:spacing w:line="440" w:lineRule="exact"/>
              <w:jc w:val="center"/>
              <w:rPr>
                <w:rFonts w:hAnsi="宋体"/>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67D92FAB">
            <w:pPr>
              <w:topLinePunct/>
              <w:spacing w:line="440" w:lineRule="exact"/>
              <w:jc w:val="center"/>
              <w:rPr>
                <w:rFonts w:hAnsi="宋体"/>
                <w:sz w:val="24"/>
                <w:highlight w:val="none"/>
              </w:rPr>
            </w:pPr>
            <w:r>
              <w:rPr>
                <w:rFonts w:hAnsi="宋体"/>
                <w:sz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A171A77">
            <w:pPr>
              <w:topLinePunct/>
              <w:spacing w:line="440" w:lineRule="exact"/>
              <w:jc w:val="center"/>
              <w:rPr>
                <w:rFonts w:hAnsi="宋体"/>
                <w:sz w:val="24"/>
                <w:highlight w:val="none"/>
              </w:rPr>
            </w:pPr>
          </w:p>
        </w:tc>
      </w:tr>
      <w:tr w14:paraId="5D59B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30BC1D">
            <w:pPr>
              <w:topLinePunct/>
              <w:spacing w:line="440" w:lineRule="exact"/>
              <w:jc w:val="center"/>
              <w:rPr>
                <w:rFonts w:hAnsi="宋体"/>
                <w:sz w:val="24"/>
                <w:highlight w:val="none"/>
              </w:rPr>
            </w:pPr>
            <w:r>
              <w:rPr>
                <w:rFonts w:hAnsi="宋体"/>
                <w:sz w:val="24"/>
                <w:highlight w:val="none"/>
              </w:rPr>
              <w:t>法定代表人</w:t>
            </w:r>
          </w:p>
        </w:tc>
        <w:tc>
          <w:tcPr>
            <w:tcW w:w="1049" w:type="dxa"/>
            <w:tcBorders>
              <w:top w:val="single" w:color="auto" w:sz="4" w:space="0"/>
              <w:left w:val="single" w:color="auto" w:sz="4" w:space="0"/>
              <w:bottom w:val="single" w:color="auto" w:sz="4" w:space="0"/>
              <w:right w:val="single" w:color="auto" w:sz="4" w:space="0"/>
            </w:tcBorders>
            <w:vAlign w:val="center"/>
          </w:tcPr>
          <w:p w14:paraId="14905172">
            <w:pPr>
              <w:topLinePunct/>
              <w:spacing w:line="440" w:lineRule="exact"/>
              <w:jc w:val="center"/>
              <w:rPr>
                <w:rFonts w:hAnsi="宋体"/>
                <w:sz w:val="24"/>
                <w:highlight w:val="none"/>
              </w:rPr>
            </w:pPr>
            <w:r>
              <w:rPr>
                <w:rFonts w:hAnsi="宋体"/>
                <w:sz w:val="24"/>
                <w:highlight w:val="none"/>
              </w:rPr>
              <w:t>姓名</w:t>
            </w:r>
          </w:p>
        </w:tc>
        <w:tc>
          <w:tcPr>
            <w:tcW w:w="800" w:type="dxa"/>
            <w:tcBorders>
              <w:top w:val="single" w:color="auto" w:sz="4" w:space="0"/>
              <w:left w:val="single" w:color="auto" w:sz="4" w:space="0"/>
              <w:bottom w:val="single" w:color="auto" w:sz="4" w:space="0"/>
              <w:right w:val="single" w:color="auto" w:sz="4" w:space="0"/>
            </w:tcBorders>
            <w:vAlign w:val="center"/>
          </w:tcPr>
          <w:p w14:paraId="00C1B199">
            <w:pPr>
              <w:topLinePunct/>
              <w:spacing w:line="440" w:lineRule="exact"/>
              <w:jc w:val="center"/>
              <w:rPr>
                <w:rFonts w:hAnsi="宋体"/>
                <w:sz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B71824B">
            <w:pPr>
              <w:topLinePunct/>
              <w:spacing w:line="440" w:lineRule="exact"/>
              <w:jc w:val="center"/>
              <w:rPr>
                <w:rFonts w:hAnsi="宋体"/>
                <w:sz w:val="24"/>
                <w:highlight w:val="none"/>
              </w:rPr>
            </w:pPr>
            <w:r>
              <w:rPr>
                <w:rFonts w:hAnsi="宋体"/>
                <w:sz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E95525B">
            <w:pPr>
              <w:topLinePunct/>
              <w:spacing w:line="440" w:lineRule="exact"/>
              <w:jc w:val="center"/>
              <w:rPr>
                <w:rFonts w:hAnsi="宋体"/>
                <w:sz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7FF3E7E">
            <w:pPr>
              <w:topLinePunct/>
              <w:spacing w:line="440" w:lineRule="exact"/>
              <w:jc w:val="center"/>
              <w:rPr>
                <w:rFonts w:hAnsi="宋体"/>
                <w:sz w:val="24"/>
                <w:highlight w:val="none"/>
              </w:rPr>
            </w:pPr>
            <w:r>
              <w:rPr>
                <w:rFonts w:hAnsi="宋体"/>
                <w:sz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61FABD0">
            <w:pPr>
              <w:topLinePunct/>
              <w:spacing w:line="440" w:lineRule="exact"/>
              <w:jc w:val="center"/>
              <w:rPr>
                <w:rFonts w:hAnsi="宋体"/>
                <w:sz w:val="24"/>
                <w:highlight w:val="none"/>
              </w:rPr>
            </w:pPr>
          </w:p>
        </w:tc>
      </w:tr>
      <w:tr w14:paraId="6CB6F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FA01E9">
            <w:pPr>
              <w:topLinePunct/>
              <w:spacing w:line="440" w:lineRule="exact"/>
              <w:jc w:val="center"/>
              <w:rPr>
                <w:rFonts w:hAnsi="宋体"/>
                <w:sz w:val="24"/>
                <w:highlight w:val="none"/>
              </w:rPr>
            </w:pPr>
            <w:r>
              <w:rPr>
                <w:rFonts w:hAnsi="宋体"/>
                <w:sz w:val="24"/>
                <w:highlight w:val="none"/>
              </w:rPr>
              <w:t>技术负责人</w:t>
            </w:r>
          </w:p>
        </w:tc>
        <w:tc>
          <w:tcPr>
            <w:tcW w:w="1049" w:type="dxa"/>
            <w:tcBorders>
              <w:top w:val="single" w:color="auto" w:sz="4" w:space="0"/>
              <w:left w:val="single" w:color="auto" w:sz="4" w:space="0"/>
              <w:bottom w:val="single" w:color="auto" w:sz="4" w:space="0"/>
              <w:right w:val="single" w:color="auto" w:sz="4" w:space="0"/>
            </w:tcBorders>
            <w:vAlign w:val="center"/>
          </w:tcPr>
          <w:p w14:paraId="0B02BDB0">
            <w:pPr>
              <w:topLinePunct/>
              <w:spacing w:line="440" w:lineRule="exact"/>
              <w:jc w:val="center"/>
              <w:rPr>
                <w:rFonts w:hAnsi="宋体"/>
                <w:sz w:val="24"/>
                <w:highlight w:val="none"/>
              </w:rPr>
            </w:pPr>
            <w:r>
              <w:rPr>
                <w:rFonts w:hAnsi="宋体"/>
                <w:sz w:val="24"/>
                <w:highlight w:val="none"/>
              </w:rPr>
              <w:t>姓名</w:t>
            </w:r>
          </w:p>
        </w:tc>
        <w:tc>
          <w:tcPr>
            <w:tcW w:w="800" w:type="dxa"/>
            <w:tcBorders>
              <w:top w:val="single" w:color="auto" w:sz="4" w:space="0"/>
              <w:left w:val="single" w:color="auto" w:sz="4" w:space="0"/>
              <w:bottom w:val="single" w:color="auto" w:sz="4" w:space="0"/>
              <w:right w:val="single" w:color="auto" w:sz="4" w:space="0"/>
            </w:tcBorders>
            <w:vAlign w:val="center"/>
          </w:tcPr>
          <w:p w14:paraId="123B7A0E">
            <w:pPr>
              <w:topLinePunct/>
              <w:spacing w:line="440" w:lineRule="exact"/>
              <w:jc w:val="center"/>
              <w:rPr>
                <w:rFonts w:hAnsi="宋体"/>
                <w:sz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CC84230">
            <w:pPr>
              <w:topLinePunct/>
              <w:spacing w:line="440" w:lineRule="exact"/>
              <w:jc w:val="center"/>
              <w:rPr>
                <w:rFonts w:hAnsi="宋体"/>
                <w:sz w:val="24"/>
                <w:highlight w:val="none"/>
              </w:rPr>
            </w:pPr>
            <w:r>
              <w:rPr>
                <w:rFonts w:hAnsi="宋体"/>
                <w:sz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100753E">
            <w:pPr>
              <w:topLinePunct/>
              <w:spacing w:line="440" w:lineRule="exact"/>
              <w:jc w:val="center"/>
              <w:rPr>
                <w:rFonts w:hAnsi="宋体"/>
                <w:sz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5F1AF3A">
            <w:pPr>
              <w:topLinePunct/>
              <w:spacing w:line="440" w:lineRule="exact"/>
              <w:jc w:val="center"/>
              <w:rPr>
                <w:rFonts w:hAnsi="宋体"/>
                <w:sz w:val="24"/>
                <w:highlight w:val="none"/>
              </w:rPr>
            </w:pPr>
            <w:r>
              <w:rPr>
                <w:rFonts w:hAnsi="宋体"/>
                <w:sz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911189A">
            <w:pPr>
              <w:topLinePunct/>
              <w:spacing w:line="440" w:lineRule="exact"/>
              <w:jc w:val="center"/>
              <w:rPr>
                <w:rFonts w:hAnsi="宋体"/>
                <w:sz w:val="24"/>
                <w:highlight w:val="none"/>
              </w:rPr>
            </w:pPr>
          </w:p>
        </w:tc>
      </w:tr>
      <w:tr w14:paraId="74D10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998924E">
            <w:pPr>
              <w:topLinePunct/>
              <w:spacing w:line="440" w:lineRule="exact"/>
              <w:jc w:val="center"/>
              <w:rPr>
                <w:rFonts w:hAnsi="宋体"/>
                <w:sz w:val="24"/>
                <w:highlight w:val="none"/>
              </w:rPr>
            </w:pPr>
            <w:r>
              <w:rPr>
                <w:rFonts w:hAnsi="宋体"/>
                <w:sz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575EEC8">
            <w:pPr>
              <w:topLinePunct/>
              <w:spacing w:line="440" w:lineRule="exact"/>
              <w:jc w:val="center"/>
              <w:rPr>
                <w:rFonts w:hAnsi="宋体"/>
                <w:sz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4FAB1B5F">
            <w:pPr>
              <w:topLinePunct/>
              <w:spacing w:line="440" w:lineRule="exact"/>
              <w:ind w:firstLine="120" w:firstLineChars="50"/>
              <w:jc w:val="center"/>
              <w:rPr>
                <w:rFonts w:hAnsi="宋体"/>
                <w:sz w:val="24"/>
                <w:highlight w:val="none"/>
              </w:rPr>
            </w:pPr>
            <w:r>
              <w:rPr>
                <w:rFonts w:hAnsi="宋体"/>
                <w:sz w:val="24"/>
                <w:highlight w:val="none"/>
              </w:rPr>
              <w:t>员工总人数：</w:t>
            </w:r>
          </w:p>
        </w:tc>
      </w:tr>
      <w:tr w14:paraId="704A5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F4C12C5">
            <w:pPr>
              <w:topLinePunct/>
              <w:spacing w:line="440" w:lineRule="exact"/>
              <w:jc w:val="center"/>
              <w:rPr>
                <w:rFonts w:hAnsi="宋体"/>
                <w:sz w:val="24"/>
                <w:highlight w:val="none"/>
              </w:rPr>
            </w:pPr>
            <w:r>
              <w:rPr>
                <w:rFonts w:hAnsi="宋体"/>
                <w:sz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A5FC713">
            <w:pPr>
              <w:topLinePunct/>
              <w:spacing w:line="440" w:lineRule="exact"/>
              <w:jc w:val="center"/>
              <w:rPr>
                <w:rFonts w:hAnsi="宋体"/>
                <w:sz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4FA1145">
            <w:pPr>
              <w:topLinePunct/>
              <w:spacing w:line="440" w:lineRule="exact"/>
              <w:jc w:val="center"/>
              <w:rPr>
                <w:rFonts w:hAnsi="宋体"/>
                <w:sz w:val="24"/>
                <w:highlight w:val="none"/>
              </w:rPr>
            </w:pPr>
            <w:r>
              <w:rPr>
                <w:rFonts w:hAnsi="宋体"/>
                <w:sz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87F6C32">
            <w:pPr>
              <w:topLinePunct/>
              <w:spacing w:line="440" w:lineRule="exact"/>
              <w:jc w:val="center"/>
              <w:rPr>
                <w:rFonts w:hAnsi="宋体"/>
                <w:sz w:val="24"/>
                <w:highlight w:val="none"/>
              </w:rPr>
            </w:pPr>
            <w:r>
              <w:rPr>
                <w:rFonts w:hAnsi="宋体"/>
                <w:sz w:val="24"/>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C5A2BA">
            <w:pPr>
              <w:topLinePunct/>
              <w:spacing w:line="440" w:lineRule="exact"/>
              <w:jc w:val="center"/>
              <w:rPr>
                <w:rFonts w:hAnsi="宋体"/>
                <w:sz w:val="24"/>
                <w:highlight w:val="none"/>
              </w:rPr>
            </w:pPr>
          </w:p>
        </w:tc>
      </w:tr>
      <w:tr w14:paraId="07F2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B9C09F8">
            <w:pPr>
              <w:topLinePunct/>
              <w:spacing w:line="440" w:lineRule="exact"/>
              <w:jc w:val="center"/>
              <w:rPr>
                <w:rFonts w:hAnsi="宋体"/>
                <w:sz w:val="24"/>
                <w:highlight w:val="none"/>
              </w:rPr>
            </w:pPr>
            <w:r>
              <w:rPr>
                <w:rFonts w:hAnsi="宋体"/>
                <w:sz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9BC76D8">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B38CB78">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2FD0254">
            <w:pPr>
              <w:topLinePunct/>
              <w:spacing w:line="440" w:lineRule="exact"/>
              <w:jc w:val="center"/>
              <w:rPr>
                <w:rFonts w:hAnsi="宋体"/>
                <w:sz w:val="24"/>
                <w:highlight w:val="none"/>
              </w:rPr>
            </w:pPr>
            <w:r>
              <w:rPr>
                <w:rFonts w:hAnsi="宋体"/>
                <w:sz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263579E">
            <w:pPr>
              <w:topLinePunct/>
              <w:spacing w:line="440" w:lineRule="exact"/>
              <w:jc w:val="center"/>
              <w:rPr>
                <w:rFonts w:hAnsi="宋体"/>
                <w:sz w:val="24"/>
                <w:highlight w:val="none"/>
              </w:rPr>
            </w:pPr>
          </w:p>
        </w:tc>
      </w:tr>
      <w:tr w14:paraId="4CA4F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CD46C5">
            <w:pPr>
              <w:topLinePunct/>
              <w:spacing w:line="440" w:lineRule="exact"/>
              <w:jc w:val="center"/>
              <w:rPr>
                <w:rFonts w:hAnsi="宋体"/>
                <w:sz w:val="24"/>
                <w:highlight w:val="none"/>
              </w:rPr>
            </w:pPr>
            <w:r>
              <w:rPr>
                <w:rFonts w:hAnsi="宋体"/>
                <w:sz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B477BF">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9946693">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EA227B2">
            <w:pPr>
              <w:topLinePunct/>
              <w:spacing w:line="440" w:lineRule="exact"/>
              <w:jc w:val="center"/>
              <w:rPr>
                <w:rFonts w:hAnsi="宋体"/>
                <w:sz w:val="24"/>
                <w:highlight w:val="none"/>
              </w:rPr>
            </w:pPr>
            <w:r>
              <w:rPr>
                <w:rFonts w:hAnsi="宋体"/>
                <w:sz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2C89D2">
            <w:pPr>
              <w:topLinePunct/>
              <w:spacing w:line="440" w:lineRule="exact"/>
              <w:jc w:val="center"/>
              <w:rPr>
                <w:rFonts w:hAnsi="宋体"/>
                <w:sz w:val="24"/>
                <w:highlight w:val="none"/>
              </w:rPr>
            </w:pPr>
          </w:p>
        </w:tc>
      </w:tr>
      <w:tr w14:paraId="4DB05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6CFDF8">
            <w:pPr>
              <w:topLinePunct/>
              <w:spacing w:line="440" w:lineRule="exact"/>
              <w:jc w:val="center"/>
              <w:rPr>
                <w:rFonts w:hAnsi="宋体"/>
                <w:sz w:val="24"/>
                <w:highlight w:val="none"/>
              </w:rPr>
            </w:pPr>
            <w:r>
              <w:rPr>
                <w:rFonts w:hAnsi="宋体"/>
                <w:sz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2541A84">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406B50F">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2A7B2C">
            <w:pPr>
              <w:topLinePunct/>
              <w:spacing w:line="440" w:lineRule="exact"/>
              <w:jc w:val="center"/>
              <w:rPr>
                <w:rFonts w:hAnsi="宋体"/>
                <w:sz w:val="24"/>
                <w:highlight w:val="none"/>
              </w:rPr>
            </w:pPr>
            <w:r>
              <w:rPr>
                <w:rFonts w:hAnsi="宋体"/>
                <w:sz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B5A010E">
            <w:pPr>
              <w:topLinePunct/>
              <w:spacing w:line="440" w:lineRule="exact"/>
              <w:jc w:val="center"/>
              <w:rPr>
                <w:rFonts w:hAnsi="宋体"/>
                <w:sz w:val="24"/>
                <w:highlight w:val="none"/>
              </w:rPr>
            </w:pPr>
          </w:p>
        </w:tc>
      </w:tr>
      <w:tr w14:paraId="113F8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A124C2">
            <w:pPr>
              <w:topLinePunct/>
              <w:spacing w:line="440" w:lineRule="exact"/>
              <w:jc w:val="center"/>
              <w:rPr>
                <w:rFonts w:hAnsi="宋体"/>
                <w:sz w:val="24"/>
                <w:highlight w:val="none"/>
              </w:rPr>
            </w:pPr>
            <w:r>
              <w:rPr>
                <w:rFonts w:hAnsi="宋体"/>
                <w:sz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1B3C155">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BD9F99C">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1865D2E">
            <w:pPr>
              <w:topLinePunct/>
              <w:spacing w:line="440" w:lineRule="exact"/>
              <w:jc w:val="center"/>
              <w:rPr>
                <w:rFonts w:hAnsi="宋体"/>
                <w:sz w:val="24"/>
                <w:highlight w:val="none"/>
              </w:rPr>
            </w:pPr>
            <w:r>
              <w:rPr>
                <w:rFonts w:hAnsi="宋体"/>
                <w:sz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AA7797">
            <w:pPr>
              <w:topLinePunct/>
              <w:spacing w:line="440" w:lineRule="exact"/>
              <w:jc w:val="center"/>
              <w:rPr>
                <w:rFonts w:hAnsi="宋体"/>
                <w:sz w:val="24"/>
                <w:highlight w:val="none"/>
              </w:rPr>
            </w:pPr>
          </w:p>
        </w:tc>
      </w:tr>
      <w:tr w14:paraId="6DC77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1486E50B">
            <w:pPr>
              <w:topLinePunct/>
              <w:spacing w:line="440" w:lineRule="exact"/>
              <w:ind w:firstLine="240" w:firstLineChars="100"/>
              <w:jc w:val="center"/>
              <w:rPr>
                <w:rFonts w:hAnsi="宋体"/>
                <w:sz w:val="24"/>
                <w:highlight w:val="none"/>
              </w:rPr>
            </w:pPr>
            <w:r>
              <w:rPr>
                <w:rFonts w:hAnsi="宋体"/>
                <w:sz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5310683F">
            <w:pPr>
              <w:topLinePunct/>
              <w:spacing w:line="440" w:lineRule="exact"/>
              <w:jc w:val="center"/>
              <w:rPr>
                <w:rFonts w:hAnsi="宋体"/>
                <w:sz w:val="24"/>
                <w:highlight w:val="none"/>
              </w:rPr>
            </w:pPr>
          </w:p>
          <w:p w14:paraId="320F7200">
            <w:pPr>
              <w:topLinePunct/>
              <w:spacing w:line="440" w:lineRule="exact"/>
              <w:jc w:val="center"/>
              <w:rPr>
                <w:rFonts w:hAnsi="宋体"/>
                <w:sz w:val="24"/>
                <w:highlight w:val="none"/>
              </w:rPr>
            </w:pPr>
          </w:p>
          <w:p w14:paraId="15395943">
            <w:pPr>
              <w:topLinePunct/>
              <w:spacing w:line="440" w:lineRule="exact"/>
              <w:jc w:val="center"/>
              <w:rPr>
                <w:rFonts w:hAnsi="宋体"/>
                <w:sz w:val="24"/>
                <w:highlight w:val="none"/>
              </w:rPr>
            </w:pPr>
          </w:p>
          <w:p w14:paraId="67F02DBB">
            <w:pPr>
              <w:topLinePunct/>
              <w:spacing w:line="440" w:lineRule="exact"/>
              <w:jc w:val="center"/>
              <w:rPr>
                <w:rFonts w:hAnsi="宋体"/>
                <w:sz w:val="24"/>
                <w:highlight w:val="none"/>
              </w:rPr>
            </w:pPr>
          </w:p>
          <w:p w14:paraId="7171C96A">
            <w:pPr>
              <w:topLinePunct/>
              <w:spacing w:line="440" w:lineRule="exact"/>
              <w:rPr>
                <w:rFonts w:hAnsi="宋体"/>
                <w:sz w:val="24"/>
                <w:highlight w:val="none"/>
              </w:rPr>
            </w:pPr>
          </w:p>
        </w:tc>
      </w:tr>
      <w:tr w14:paraId="0BDFA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3A85EB">
            <w:pPr>
              <w:topLinePunct/>
              <w:spacing w:line="440" w:lineRule="exact"/>
              <w:jc w:val="center"/>
              <w:rPr>
                <w:rFonts w:hAnsi="宋体"/>
                <w:sz w:val="24"/>
                <w:highlight w:val="none"/>
              </w:rPr>
            </w:pPr>
            <w:r>
              <w:rPr>
                <w:rFonts w:hAnsi="宋体"/>
                <w:sz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5E85D75">
            <w:pPr>
              <w:topLinePunct/>
              <w:spacing w:line="440" w:lineRule="exact"/>
              <w:jc w:val="center"/>
              <w:rPr>
                <w:rFonts w:hAnsi="宋体"/>
                <w:sz w:val="24"/>
                <w:highlight w:val="none"/>
              </w:rPr>
            </w:pPr>
          </w:p>
        </w:tc>
      </w:tr>
    </w:tbl>
    <w:p w14:paraId="0ED6AC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注：1.本表后须附企业营业执照副本、企业资质证书副本、《建筑施工企业安全生产许可证》、</w:t>
      </w:r>
      <w:r>
        <w:rPr>
          <w:rFonts w:hint="eastAsia" w:ascii="宋体" w:hAnsi="宋体" w:eastAsia="宋体" w:cs="宋体"/>
          <w:sz w:val="24"/>
          <w:szCs w:val="24"/>
          <w:highlight w:val="none"/>
          <w:lang w:eastAsia="zh-CN"/>
        </w:rPr>
        <w:t>佛山市建筑诚信评价体系管理平台</w:t>
      </w:r>
      <w:r>
        <w:rPr>
          <w:rFonts w:hint="eastAsia" w:ascii="宋体" w:hAnsi="宋体" w:eastAsia="宋体" w:cs="宋体"/>
          <w:sz w:val="24"/>
          <w:szCs w:val="24"/>
          <w:highlight w:val="none"/>
        </w:rPr>
        <w:t>登记的网页打印件等的复印件，并加盖投标人公章。</w:t>
      </w:r>
    </w:p>
    <w:p w14:paraId="507D8B8C">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2.评标委员会对投标文件的评审以投标文件提供的信息为准（企业诚信信息以相关行业行政主管部门建立的诚信管理系统内的信息为准）。</w:t>
      </w:r>
    </w:p>
    <w:p w14:paraId="701ADFE9">
      <w:pPr>
        <w:keepNext w:val="0"/>
        <w:keepLines w:val="0"/>
        <w:pageBreakBefore w:val="0"/>
        <w:widowControl w:val="0"/>
        <w:tabs>
          <w:tab w:val="left" w:pos="0"/>
        </w:tabs>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sz w:val="24"/>
          <w:szCs w:val="24"/>
          <w:highlight w:val="none"/>
        </w:rPr>
        <w:sectPr>
          <w:pgSz w:w="11906" w:h="16838"/>
          <w:pgMar w:top="1418" w:right="1134" w:bottom="1418" w:left="1134" w:header="737" w:footer="68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sz w:val="24"/>
          <w:szCs w:val="24"/>
          <w:highlight w:val="none"/>
        </w:rPr>
        <w:t>3.提供的复印件资料必须清晰、明辨，否则投标人须自行承担后果。</w:t>
      </w:r>
    </w:p>
    <w:p w14:paraId="43C5914F">
      <w:pPr>
        <w:pStyle w:val="161"/>
        <w:ind w:firstLine="496"/>
        <w:jc w:val="center"/>
        <w:rPr>
          <w:highlight w:val="none"/>
        </w:rPr>
      </w:pPr>
      <w:bookmarkStart w:id="244" w:name="_Toc528094405"/>
      <w:bookmarkStart w:id="245" w:name="_Toc528144424"/>
      <w:bookmarkStart w:id="246" w:name="_Toc18132"/>
      <w:bookmarkStart w:id="247" w:name="_Toc527538952"/>
      <w:bookmarkStart w:id="248" w:name="_Toc22458"/>
      <w:bookmarkStart w:id="249" w:name="_Toc40348338"/>
      <w:bookmarkStart w:id="250" w:name="_Toc87003168"/>
      <w:bookmarkStart w:id="251" w:name="_Toc40280324"/>
      <w:bookmarkStart w:id="252" w:name="_Toc85723254"/>
      <w:bookmarkStart w:id="253" w:name="_Toc56690637"/>
      <w:bookmarkStart w:id="254" w:name="_Toc2393"/>
      <w:r>
        <w:rPr>
          <w:rFonts w:hint="eastAsia"/>
          <w:highlight w:val="none"/>
        </w:rPr>
        <w:t xml:space="preserve">附表二  </w:t>
      </w:r>
      <w:bookmarkEnd w:id="244"/>
      <w:bookmarkEnd w:id="245"/>
      <w:bookmarkEnd w:id="246"/>
      <w:r>
        <w:rPr>
          <w:rFonts w:hint="eastAsia"/>
          <w:highlight w:val="none"/>
        </w:rPr>
        <w:t>拟派驻本工程的项目负责人简历</w:t>
      </w:r>
      <w:bookmarkEnd w:id="247"/>
      <w:bookmarkEnd w:id="248"/>
      <w:bookmarkEnd w:id="249"/>
      <w:bookmarkEnd w:id="250"/>
      <w:bookmarkEnd w:id="251"/>
      <w:bookmarkEnd w:id="252"/>
      <w:bookmarkEnd w:id="253"/>
      <w:bookmarkEnd w:id="254"/>
    </w:p>
    <w:p w14:paraId="203D9E75">
      <w:pPr>
        <w:rPr>
          <w:rFonts w:ascii="宋体" w:hAnsi="宋体"/>
          <w:sz w:val="24"/>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55"/>
        <w:gridCol w:w="824"/>
        <w:gridCol w:w="927"/>
        <w:gridCol w:w="1065"/>
        <w:gridCol w:w="708"/>
        <w:gridCol w:w="1261"/>
        <w:gridCol w:w="161"/>
        <w:gridCol w:w="2135"/>
      </w:tblGrid>
      <w:tr w14:paraId="0AED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vAlign w:val="center"/>
          </w:tcPr>
          <w:p w14:paraId="4F9E2F01">
            <w:pPr>
              <w:spacing w:line="440" w:lineRule="exact"/>
              <w:rPr>
                <w:rFonts w:ascii="宋体" w:hAnsi="宋体"/>
                <w:sz w:val="24"/>
                <w:highlight w:val="none"/>
              </w:rPr>
            </w:pPr>
            <w:r>
              <w:rPr>
                <w:rFonts w:ascii="宋体" w:hAnsi="宋体"/>
                <w:sz w:val="24"/>
                <w:highlight w:val="none"/>
              </w:rPr>
              <w:t>姓  名</w:t>
            </w:r>
          </w:p>
        </w:tc>
        <w:tc>
          <w:tcPr>
            <w:tcW w:w="1079" w:type="dxa"/>
            <w:gridSpan w:val="2"/>
            <w:vAlign w:val="center"/>
          </w:tcPr>
          <w:p w14:paraId="0B904F8A">
            <w:pPr>
              <w:spacing w:line="440" w:lineRule="exact"/>
              <w:rPr>
                <w:rFonts w:ascii="宋体" w:hAnsi="宋体"/>
                <w:sz w:val="24"/>
                <w:highlight w:val="none"/>
              </w:rPr>
            </w:pPr>
          </w:p>
        </w:tc>
        <w:tc>
          <w:tcPr>
            <w:tcW w:w="927" w:type="dxa"/>
            <w:vAlign w:val="center"/>
          </w:tcPr>
          <w:p w14:paraId="584DA099">
            <w:pPr>
              <w:spacing w:line="440" w:lineRule="exact"/>
              <w:rPr>
                <w:rFonts w:ascii="宋体" w:hAnsi="宋体"/>
                <w:sz w:val="24"/>
                <w:highlight w:val="none"/>
              </w:rPr>
            </w:pPr>
            <w:r>
              <w:rPr>
                <w:rFonts w:ascii="宋体" w:hAnsi="宋体"/>
                <w:sz w:val="24"/>
                <w:highlight w:val="none"/>
              </w:rPr>
              <w:t>年 龄</w:t>
            </w:r>
          </w:p>
        </w:tc>
        <w:tc>
          <w:tcPr>
            <w:tcW w:w="1065" w:type="dxa"/>
            <w:vAlign w:val="center"/>
          </w:tcPr>
          <w:p w14:paraId="06B23CF0">
            <w:pPr>
              <w:spacing w:line="440" w:lineRule="exact"/>
              <w:rPr>
                <w:rFonts w:ascii="宋体" w:hAnsi="宋体"/>
                <w:sz w:val="24"/>
                <w:highlight w:val="none"/>
              </w:rPr>
            </w:pPr>
          </w:p>
        </w:tc>
        <w:tc>
          <w:tcPr>
            <w:tcW w:w="2130" w:type="dxa"/>
            <w:gridSpan w:val="3"/>
            <w:vAlign w:val="center"/>
          </w:tcPr>
          <w:p w14:paraId="3C27CECA">
            <w:pPr>
              <w:spacing w:line="440" w:lineRule="exact"/>
              <w:rPr>
                <w:rFonts w:ascii="宋体" w:hAnsi="宋体"/>
                <w:sz w:val="24"/>
                <w:highlight w:val="none"/>
              </w:rPr>
            </w:pPr>
            <w:r>
              <w:rPr>
                <w:rFonts w:ascii="宋体" w:hAnsi="宋体"/>
                <w:sz w:val="24"/>
                <w:highlight w:val="none"/>
              </w:rPr>
              <w:t>学历</w:t>
            </w:r>
          </w:p>
        </w:tc>
        <w:tc>
          <w:tcPr>
            <w:tcW w:w="2135" w:type="dxa"/>
            <w:vAlign w:val="center"/>
          </w:tcPr>
          <w:p w14:paraId="16864832">
            <w:pPr>
              <w:spacing w:line="440" w:lineRule="exact"/>
              <w:rPr>
                <w:rFonts w:ascii="宋体" w:hAnsi="宋体"/>
                <w:sz w:val="24"/>
                <w:highlight w:val="none"/>
              </w:rPr>
            </w:pPr>
          </w:p>
        </w:tc>
      </w:tr>
      <w:tr w14:paraId="34D6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vAlign w:val="center"/>
          </w:tcPr>
          <w:p w14:paraId="641E85EE">
            <w:pPr>
              <w:spacing w:line="440" w:lineRule="exact"/>
              <w:rPr>
                <w:rFonts w:ascii="宋体" w:hAnsi="宋体"/>
                <w:sz w:val="24"/>
                <w:highlight w:val="none"/>
              </w:rPr>
            </w:pPr>
            <w:r>
              <w:rPr>
                <w:rFonts w:ascii="宋体" w:hAnsi="宋体"/>
                <w:sz w:val="24"/>
                <w:highlight w:val="none"/>
              </w:rPr>
              <w:t>职  称</w:t>
            </w:r>
          </w:p>
        </w:tc>
        <w:tc>
          <w:tcPr>
            <w:tcW w:w="1079" w:type="dxa"/>
            <w:gridSpan w:val="2"/>
            <w:vAlign w:val="center"/>
          </w:tcPr>
          <w:p w14:paraId="5ACBC353">
            <w:pPr>
              <w:spacing w:line="440" w:lineRule="exact"/>
              <w:rPr>
                <w:rFonts w:ascii="宋体" w:hAnsi="宋体"/>
                <w:sz w:val="24"/>
                <w:highlight w:val="none"/>
              </w:rPr>
            </w:pPr>
          </w:p>
        </w:tc>
        <w:tc>
          <w:tcPr>
            <w:tcW w:w="927" w:type="dxa"/>
            <w:vAlign w:val="center"/>
          </w:tcPr>
          <w:p w14:paraId="28EFC04B">
            <w:pPr>
              <w:spacing w:line="440" w:lineRule="exact"/>
              <w:rPr>
                <w:rFonts w:ascii="宋体" w:hAnsi="宋体"/>
                <w:sz w:val="24"/>
                <w:highlight w:val="none"/>
              </w:rPr>
            </w:pPr>
            <w:r>
              <w:rPr>
                <w:rFonts w:ascii="宋体" w:hAnsi="宋体"/>
                <w:sz w:val="24"/>
                <w:highlight w:val="none"/>
              </w:rPr>
              <w:t>职 务</w:t>
            </w:r>
          </w:p>
        </w:tc>
        <w:tc>
          <w:tcPr>
            <w:tcW w:w="1065" w:type="dxa"/>
            <w:vAlign w:val="center"/>
          </w:tcPr>
          <w:p w14:paraId="39A1B94F">
            <w:pPr>
              <w:spacing w:line="440" w:lineRule="exact"/>
              <w:rPr>
                <w:rFonts w:ascii="宋体" w:hAnsi="宋体"/>
                <w:sz w:val="24"/>
                <w:highlight w:val="none"/>
              </w:rPr>
            </w:pPr>
          </w:p>
        </w:tc>
        <w:tc>
          <w:tcPr>
            <w:tcW w:w="2130" w:type="dxa"/>
            <w:gridSpan w:val="3"/>
            <w:vAlign w:val="center"/>
          </w:tcPr>
          <w:p w14:paraId="5F429790">
            <w:pPr>
              <w:spacing w:line="440" w:lineRule="exact"/>
              <w:rPr>
                <w:rFonts w:ascii="宋体" w:hAnsi="宋体"/>
                <w:sz w:val="24"/>
                <w:highlight w:val="none"/>
              </w:rPr>
            </w:pPr>
            <w:r>
              <w:rPr>
                <w:rFonts w:ascii="宋体" w:hAnsi="宋体"/>
                <w:sz w:val="24"/>
                <w:highlight w:val="none"/>
              </w:rPr>
              <w:t>拟在本合同任职</w:t>
            </w:r>
          </w:p>
        </w:tc>
        <w:tc>
          <w:tcPr>
            <w:tcW w:w="2135" w:type="dxa"/>
            <w:vAlign w:val="center"/>
          </w:tcPr>
          <w:p w14:paraId="673ECA58">
            <w:pPr>
              <w:spacing w:line="440" w:lineRule="exact"/>
              <w:rPr>
                <w:rFonts w:ascii="宋体" w:hAnsi="宋体"/>
                <w:sz w:val="24"/>
                <w:highlight w:val="none"/>
              </w:rPr>
            </w:pPr>
          </w:p>
        </w:tc>
      </w:tr>
      <w:tr w14:paraId="4E18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7D4122EB">
            <w:pPr>
              <w:spacing w:line="440" w:lineRule="exact"/>
              <w:rPr>
                <w:rFonts w:ascii="宋体" w:hAnsi="宋体"/>
                <w:sz w:val="24"/>
                <w:highlight w:val="none"/>
              </w:rPr>
            </w:pPr>
            <w:r>
              <w:rPr>
                <w:rFonts w:hint="eastAsia" w:ascii="宋体" w:hAnsi="宋体"/>
                <w:sz w:val="24"/>
                <w:highlight w:val="none"/>
              </w:rPr>
              <w:t>专业</w:t>
            </w:r>
          </w:p>
        </w:tc>
        <w:tc>
          <w:tcPr>
            <w:tcW w:w="7336" w:type="dxa"/>
            <w:gridSpan w:val="8"/>
          </w:tcPr>
          <w:p w14:paraId="68C13382">
            <w:pPr>
              <w:spacing w:line="440" w:lineRule="exact"/>
              <w:rPr>
                <w:rFonts w:ascii="宋体" w:hAnsi="宋体"/>
                <w:sz w:val="24"/>
                <w:highlight w:val="none"/>
              </w:rPr>
            </w:pPr>
          </w:p>
        </w:tc>
      </w:tr>
      <w:tr w14:paraId="157E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0A1D5841">
            <w:pPr>
              <w:spacing w:line="440" w:lineRule="exact"/>
              <w:rPr>
                <w:rFonts w:ascii="宋体" w:hAnsi="宋体"/>
                <w:sz w:val="24"/>
                <w:highlight w:val="none"/>
              </w:rPr>
            </w:pPr>
            <w:r>
              <w:rPr>
                <w:rFonts w:ascii="宋体" w:hAnsi="宋体"/>
                <w:sz w:val="24"/>
                <w:highlight w:val="none"/>
              </w:rPr>
              <w:t>主要工作经历</w:t>
            </w:r>
            <w:r>
              <w:rPr>
                <w:rFonts w:ascii="宋体" w:hAnsi="宋体"/>
                <w:snapToGrid w:val="0"/>
                <w:kern w:val="0"/>
                <w:sz w:val="24"/>
                <w:highlight w:val="none"/>
              </w:rPr>
              <w:t>（何时在哪些工程项目中任何职务）</w:t>
            </w:r>
          </w:p>
        </w:tc>
      </w:tr>
      <w:tr w14:paraId="45D5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1" w:type="dxa"/>
            <w:gridSpan w:val="2"/>
            <w:vAlign w:val="center"/>
          </w:tcPr>
          <w:p w14:paraId="691DEA1E">
            <w:pPr>
              <w:spacing w:line="440" w:lineRule="exact"/>
              <w:rPr>
                <w:rFonts w:ascii="宋体" w:hAnsi="宋体"/>
                <w:sz w:val="24"/>
                <w:highlight w:val="none"/>
              </w:rPr>
            </w:pPr>
            <w:r>
              <w:rPr>
                <w:rFonts w:ascii="宋体" w:hAnsi="宋体"/>
                <w:sz w:val="24"/>
                <w:highlight w:val="none"/>
              </w:rPr>
              <w:t>时  间</w:t>
            </w:r>
          </w:p>
        </w:tc>
        <w:tc>
          <w:tcPr>
            <w:tcW w:w="3524" w:type="dxa"/>
            <w:gridSpan w:val="4"/>
            <w:vAlign w:val="center"/>
          </w:tcPr>
          <w:p w14:paraId="2637D8C6">
            <w:pPr>
              <w:spacing w:line="440" w:lineRule="exact"/>
              <w:rPr>
                <w:rFonts w:ascii="宋体" w:hAnsi="宋体"/>
                <w:sz w:val="24"/>
                <w:highlight w:val="none"/>
              </w:rPr>
            </w:pPr>
            <w:r>
              <w:rPr>
                <w:rFonts w:ascii="宋体" w:hAnsi="宋体"/>
                <w:sz w:val="24"/>
                <w:highlight w:val="none"/>
              </w:rPr>
              <w:t>参加过的类似项目</w:t>
            </w:r>
          </w:p>
        </w:tc>
        <w:tc>
          <w:tcPr>
            <w:tcW w:w="1261" w:type="dxa"/>
            <w:vAlign w:val="center"/>
          </w:tcPr>
          <w:p w14:paraId="5522EFAD">
            <w:pPr>
              <w:spacing w:line="440" w:lineRule="exact"/>
              <w:rPr>
                <w:rFonts w:ascii="宋体" w:hAnsi="宋体"/>
                <w:sz w:val="24"/>
                <w:highlight w:val="none"/>
              </w:rPr>
            </w:pPr>
            <w:r>
              <w:rPr>
                <w:rFonts w:ascii="宋体" w:hAnsi="宋体"/>
                <w:sz w:val="24"/>
                <w:highlight w:val="none"/>
              </w:rPr>
              <w:t>担任职务</w:t>
            </w:r>
          </w:p>
        </w:tc>
        <w:tc>
          <w:tcPr>
            <w:tcW w:w="2296" w:type="dxa"/>
            <w:gridSpan w:val="2"/>
            <w:vAlign w:val="center"/>
          </w:tcPr>
          <w:p w14:paraId="7118C633">
            <w:pPr>
              <w:spacing w:line="440" w:lineRule="exact"/>
              <w:ind w:firstLine="960" w:firstLineChars="400"/>
              <w:rPr>
                <w:rFonts w:ascii="宋体" w:hAnsi="宋体"/>
                <w:sz w:val="24"/>
                <w:highlight w:val="none"/>
              </w:rPr>
            </w:pPr>
            <w:r>
              <w:rPr>
                <w:rFonts w:hint="eastAsia" w:ascii="宋体" w:hAnsi="宋体"/>
                <w:sz w:val="24"/>
                <w:highlight w:val="none"/>
              </w:rPr>
              <w:t>备注</w:t>
            </w:r>
          </w:p>
        </w:tc>
      </w:tr>
      <w:tr w14:paraId="0DEE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1" w:type="dxa"/>
            <w:gridSpan w:val="2"/>
          </w:tcPr>
          <w:p w14:paraId="1A421114">
            <w:pPr>
              <w:spacing w:line="440" w:lineRule="exact"/>
              <w:rPr>
                <w:rFonts w:ascii="宋体" w:hAnsi="宋体"/>
                <w:sz w:val="24"/>
                <w:highlight w:val="none"/>
              </w:rPr>
            </w:pPr>
          </w:p>
        </w:tc>
        <w:tc>
          <w:tcPr>
            <w:tcW w:w="3524" w:type="dxa"/>
            <w:gridSpan w:val="4"/>
          </w:tcPr>
          <w:p w14:paraId="22C5A2BB">
            <w:pPr>
              <w:spacing w:line="440" w:lineRule="exact"/>
              <w:rPr>
                <w:rFonts w:ascii="宋体" w:hAnsi="宋体"/>
                <w:sz w:val="24"/>
                <w:highlight w:val="none"/>
              </w:rPr>
            </w:pPr>
          </w:p>
        </w:tc>
        <w:tc>
          <w:tcPr>
            <w:tcW w:w="1261" w:type="dxa"/>
          </w:tcPr>
          <w:p w14:paraId="1FC3CF2D">
            <w:pPr>
              <w:spacing w:line="440" w:lineRule="exact"/>
              <w:rPr>
                <w:rFonts w:ascii="宋体" w:hAnsi="宋体"/>
                <w:sz w:val="24"/>
                <w:highlight w:val="none"/>
              </w:rPr>
            </w:pPr>
          </w:p>
        </w:tc>
        <w:tc>
          <w:tcPr>
            <w:tcW w:w="2296" w:type="dxa"/>
            <w:gridSpan w:val="2"/>
          </w:tcPr>
          <w:p w14:paraId="50FB7E2C">
            <w:pPr>
              <w:spacing w:line="440" w:lineRule="exact"/>
              <w:rPr>
                <w:rFonts w:ascii="宋体" w:hAnsi="宋体"/>
                <w:sz w:val="24"/>
                <w:highlight w:val="none"/>
              </w:rPr>
            </w:pPr>
          </w:p>
        </w:tc>
      </w:tr>
      <w:tr w14:paraId="1504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441" w:type="dxa"/>
            <w:gridSpan w:val="2"/>
            <w:vAlign w:val="center"/>
          </w:tcPr>
          <w:p w14:paraId="4522CAF0">
            <w:pPr>
              <w:spacing w:line="440" w:lineRule="exact"/>
              <w:rPr>
                <w:rFonts w:ascii="宋体" w:hAnsi="宋体"/>
                <w:sz w:val="24"/>
                <w:highlight w:val="none"/>
              </w:rPr>
            </w:pPr>
          </w:p>
        </w:tc>
        <w:tc>
          <w:tcPr>
            <w:tcW w:w="3524" w:type="dxa"/>
            <w:gridSpan w:val="4"/>
            <w:vAlign w:val="center"/>
          </w:tcPr>
          <w:p w14:paraId="42F219FF">
            <w:pPr>
              <w:spacing w:line="440" w:lineRule="exact"/>
              <w:rPr>
                <w:rFonts w:ascii="宋体" w:hAnsi="宋体"/>
                <w:sz w:val="24"/>
                <w:highlight w:val="none"/>
              </w:rPr>
            </w:pPr>
          </w:p>
        </w:tc>
        <w:tc>
          <w:tcPr>
            <w:tcW w:w="1261" w:type="dxa"/>
            <w:vAlign w:val="center"/>
          </w:tcPr>
          <w:p w14:paraId="53D34CD2">
            <w:pPr>
              <w:spacing w:line="440" w:lineRule="exact"/>
              <w:rPr>
                <w:rFonts w:ascii="宋体" w:hAnsi="宋体"/>
                <w:sz w:val="24"/>
                <w:highlight w:val="none"/>
              </w:rPr>
            </w:pPr>
          </w:p>
        </w:tc>
        <w:tc>
          <w:tcPr>
            <w:tcW w:w="2296" w:type="dxa"/>
            <w:gridSpan w:val="2"/>
            <w:vAlign w:val="center"/>
          </w:tcPr>
          <w:p w14:paraId="0D616C1B">
            <w:pPr>
              <w:spacing w:line="440" w:lineRule="exact"/>
              <w:rPr>
                <w:rFonts w:ascii="宋体" w:hAnsi="宋体"/>
                <w:sz w:val="24"/>
                <w:highlight w:val="none"/>
              </w:rPr>
            </w:pPr>
          </w:p>
        </w:tc>
      </w:tr>
      <w:tr w14:paraId="6EAA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57D18B82">
            <w:pPr>
              <w:spacing w:line="440" w:lineRule="exact"/>
              <w:rPr>
                <w:rFonts w:ascii="宋体" w:hAnsi="宋体"/>
                <w:sz w:val="24"/>
                <w:highlight w:val="none"/>
              </w:rPr>
            </w:pPr>
            <w:r>
              <w:rPr>
                <w:rFonts w:ascii="宋体" w:hAnsi="宋体"/>
                <w:snapToGrid w:val="0"/>
                <w:kern w:val="0"/>
                <w:sz w:val="24"/>
                <w:highlight w:val="none"/>
              </w:rPr>
              <w:t>有何其他特殊才能，受过哪些奖励等</w:t>
            </w:r>
          </w:p>
        </w:tc>
      </w:tr>
      <w:tr w14:paraId="0F0F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441" w:type="dxa"/>
            <w:gridSpan w:val="2"/>
            <w:vAlign w:val="center"/>
          </w:tcPr>
          <w:p w14:paraId="1C8EBC5D">
            <w:pPr>
              <w:spacing w:line="440" w:lineRule="exact"/>
              <w:rPr>
                <w:rFonts w:ascii="宋体" w:hAnsi="宋体"/>
                <w:sz w:val="24"/>
                <w:highlight w:val="none"/>
              </w:rPr>
            </w:pPr>
          </w:p>
        </w:tc>
        <w:tc>
          <w:tcPr>
            <w:tcW w:w="3524" w:type="dxa"/>
            <w:gridSpan w:val="4"/>
            <w:vAlign w:val="center"/>
          </w:tcPr>
          <w:p w14:paraId="40A893A6">
            <w:pPr>
              <w:spacing w:line="440" w:lineRule="exact"/>
              <w:rPr>
                <w:rFonts w:ascii="宋体" w:hAnsi="宋体"/>
                <w:sz w:val="24"/>
                <w:highlight w:val="none"/>
              </w:rPr>
            </w:pPr>
          </w:p>
        </w:tc>
        <w:tc>
          <w:tcPr>
            <w:tcW w:w="1261" w:type="dxa"/>
            <w:vAlign w:val="center"/>
          </w:tcPr>
          <w:p w14:paraId="71864FE1">
            <w:pPr>
              <w:spacing w:line="440" w:lineRule="exact"/>
              <w:rPr>
                <w:rFonts w:ascii="宋体" w:hAnsi="宋体"/>
                <w:sz w:val="24"/>
                <w:highlight w:val="none"/>
              </w:rPr>
            </w:pPr>
          </w:p>
        </w:tc>
        <w:tc>
          <w:tcPr>
            <w:tcW w:w="2296" w:type="dxa"/>
            <w:gridSpan w:val="2"/>
            <w:vAlign w:val="center"/>
          </w:tcPr>
          <w:p w14:paraId="2C88E94B">
            <w:pPr>
              <w:spacing w:line="440" w:lineRule="exact"/>
              <w:rPr>
                <w:rFonts w:ascii="宋体" w:hAnsi="宋体"/>
                <w:sz w:val="24"/>
                <w:highlight w:val="none"/>
              </w:rPr>
            </w:pPr>
          </w:p>
        </w:tc>
      </w:tr>
      <w:tr w14:paraId="0567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1" w:type="dxa"/>
            <w:gridSpan w:val="2"/>
            <w:vAlign w:val="center"/>
          </w:tcPr>
          <w:p w14:paraId="3C01B128">
            <w:pPr>
              <w:spacing w:line="440" w:lineRule="exact"/>
              <w:rPr>
                <w:rFonts w:ascii="宋体" w:hAnsi="宋体"/>
                <w:sz w:val="24"/>
                <w:highlight w:val="none"/>
              </w:rPr>
            </w:pPr>
          </w:p>
        </w:tc>
        <w:tc>
          <w:tcPr>
            <w:tcW w:w="3524" w:type="dxa"/>
            <w:gridSpan w:val="4"/>
            <w:vAlign w:val="center"/>
          </w:tcPr>
          <w:p w14:paraId="61362BF9">
            <w:pPr>
              <w:spacing w:line="440" w:lineRule="exact"/>
              <w:rPr>
                <w:rFonts w:ascii="宋体" w:hAnsi="宋体"/>
                <w:sz w:val="24"/>
                <w:highlight w:val="none"/>
              </w:rPr>
            </w:pPr>
          </w:p>
        </w:tc>
        <w:tc>
          <w:tcPr>
            <w:tcW w:w="1261" w:type="dxa"/>
            <w:vAlign w:val="center"/>
          </w:tcPr>
          <w:p w14:paraId="76BDB8C1">
            <w:pPr>
              <w:spacing w:line="440" w:lineRule="exact"/>
              <w:rPr>
                <w:rFonts w:ascii="宋体" w:hAnsi="宋体"/>
                <w:sz w:val="24"/>
                <w:highlight w:val="none"/>
              </w:rPr>
            </w:pPr>
          </w:p>
        </w:tc>
        <w:tc>
          <w:tcPr>
            <w:tcW w:w="2296" w:type="dxa"/>
            <w:gridSpan w:val="2"/>
            <w:vAlign w:val="center"/>
          </w:tcPr>
          <w:p w14:paraId="679187A7">
            <w:pPr>
              <w:spacing w:line="440" w:lineRule="exact"/>
              <w:rPr>
                <w:rFonts w:ascii="宋体" w:hAnsi="宋体"/>
                <w:sz w:val="24"/>
                <w:highlight w:val="none"/>
              </w:rPr>
            </w:pPr>
          </w:p>
        </w:tc>
      </w:tr>
      <w:tr w14:paraId="681D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1" w:type="dxa"/>
            <w:gridSpan w:val="2"/>
            <w:vAlign w:val="center"/>
          </w:tcPr>
          <w:p w14:paraId="367F128B">
            <w:pPr>
              <w:spacing w:line="440" w:lineRule="exact"/>
              <w:jc w:val="center"/>
              <w:rPr>
                <w:rFonts w:ascii="宋体" w:hAnsi="宋体"/>
                <w:sz w:val="24"/>
                <w:highlight w:val="none"/>
              </w:rPr>
            </w:pPr>
            <w:r>
              <w:rPr>
                <w:rFonts w:hint="eastAsia" w:ascii="宋体" w:hAnsi="宋体"/>
                <w:sz w:val="24"/>
                <w:highlight w:val="none"/>
              </w:rPr>
              <w:t>备注</w:t>
            </w:r>
          </w:p>
        </w:tc>
        <w:tc>
          <w:tcPr>
            <w:tcW w:w="7081" w:type="dxa"/>
            <w:gridSpan w:val="7"/>
            <w:vAlign w:val="center"/>
          </w:tcPr>
          <w:p w14:paraId="096801CB">
            <w:pPr>
              <w:spacing w:line="440" w:lineRule="exact"/>
              <w:rPr>
                <w:rFonts w:ascii="宋体" w:hAnsi="宋体"/>
                <w:sz w:val="24"/>
                <w:highlight w:val="none"/>
              </w:rPr>
            </w:pPr>
          </w:p>
        </w:tc>
      </w:tr>
    </w:tbl>
    <w:p w14:paraId="1F2BEF76">
      <w:pPr>
        <w:tabs>
          <w:tab w:val="left" w:pos="0"/>
        </w:tabs>
        <w:spacing w:line="360" w:lineRule="exact"/>
        <w:ind w:left="420" w:leftChars="200"/>
        <w:rPr>
          <w:rFonts w:ascii="宋体" w:hAnsi="宋体" w:eastAsia="宋体" w:cs="Times New Roman"/>
          <w:sz w:val="24"/>
          <w:szCs w:val="24"/>
          <w:highlight w:val="none"/>
        </w:rPr>
      </w:pPr>
    </w:p>
    <w:p w14:paraId="45779AEB">
      <w:pPr>
        <w:keepNext w:val="0"/>
        <w:keepLines w:val="0"/>
        <w:pageBreakBefore w:val="0"/>
        <w:widowControl w:val="0"/>
        <w:tabs>
          <w:tab w:val="left" w:pos="0"/>
        </w:tabs>
        <w:kinsoku/>
        <w:wordWrap/>
        <w:overflowPunct/>
        <w:topLinePunct w:val="0"/>
        <w:autoSpaceDE/>
        <w:autoSpaceDN/>
        <w:bidi w:val="0"/>
        <w:adjustRightInd/>
        <w:snapToGrid/>
        <w:spacing w:line="440" w:lineRule="exact"/>
        <w:ind w:left="420" w:left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注：1、拟派项目负责人应分别填写本表，且表后须分别附个人相关执业</w:t>
      </w:r>
    </w:p>
    <w:p w14:paraId="0D84368B">
      <w:pPr>
        <w:keepNext w:val="0"/>
        <w:keepLines w:val="0"/>
        <w:pageBreakBefore w:val="0"/>
        <w:widowControl w:val="0"/>
        <w:tabs>
          <w:tab w:val="left" w:pos="0"/>
        </w:tabs>
        <w:kinsoku/>
        <w:wordWrap/>
        <w:overflowPunct/>
        <w:topLinePunct w:val="0"/>
        <w:autoSpaceDE/>
        <w:autoSpaceDN/>
        <w:bidi w:val="0"/>
        <w:adjustRightInd/>
        <w:snapToGrid/>
        <w:spacing w:line="440" w:lineRule="exact"/>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或职业资格证明文件（包括身份证）、社保证明材料等复印件，并加盖投标人公章。</w:t>
      </w:r>
      <w:r>
        <w:rPr>
          <w:rFonts w:hint="eastAsia" w:ascii="宋体" w:hAnsi="宋体" w:eastAsia="宋体" w:cs="Times New Roman"/>
          <w:b/>
          <w:bCs/>
          <w:sz w:val="24"/>
          <w:szCs w:val="24"/>
          <w:highlight w:val="none"/>
        </w:rPr>
        <w:t>有关项目负责人有无在建项目任职的声明附后（格式自拟，须提交原件并加盖投标人公章）。</w:t>
      </w:r>
    </w:p>
    <w:p w14:paraId="1AB011B5">
      <w:pPr>
        <w:keepNext w:val="0"/>
        <w:keepLines w:val="0"/>
        <w:pageBreakBefore w:val="0"/>
        <w:widowControl w:val="0"/>
        <w:tabs>
          <w:tab w:val="left" w:pos="0"/>
        </w:tabs>
        <w:kinsoku/>
        <w:wordWrap/>
        <w:overflowPunct/>
        <w:topLinePunct w:val="0"/>
        <w:autoSpaceDE/>
        <w:autoSpaceDN/>
        <w:bidi w:val="0"/>
        <w:adjustRightInd/>
        <w:snapToGrid/>
        <w:spacing w:line="440" w:lineRule="exact"/>
        <w:ind w:left="0" w:leftChars="0" w:firstLine="420" w:firstLineChars="175"/>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2、表后须附项目负责人在</w:t>
      </w:r>
      <w:r>
        <w:rPr>
          <w:rFonts w:hint="eastAsia" w:ascii="宋体" w:hAnsi="宋体" w:eastAsia="宋体" w:cs="Times New Roman"/>
          <w:sz w:val="24"/>
          <w:szCs w:val="24"/>
          <w:highlight w:val="none"/>
          <w:lang w:eastAsia="zh-CN"/>
        </w:rPr>
        <w:t>佛山市建筑诚信评价体系管理平台</w:t>
      </w:r>
      <w:r>
        <w:rPr>
          <w:rFonts w:hint="eastAsia" w:ascii="宋体" w:hAnsi="宋体" w:eastAsia="宋体" w:cs="Times New Roman"/>
          <w:sz w:val="24"/>
          <w:szCs w:val="24"/>
          <w:highlight w:val="none"/>
        </w:rPr>
        <w:t>登记备案的网页打印件并加盖投标人公章。</w:t>
      </w:r>
    </w:p>
    <w:p w14:paraId="25FE7728">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3、省外企业须提供企业和人员“进粤企业和人员诚信信息登记平台”专栏关于投标人进粤企业及人员信息的网页打印件并加盖投标人公章。</w:t>
      </w:r>
    </w:p>
    <w:p w14:paraId="4E37A8AA">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4、提供的复印件资料必须清晰、明辨，否则投标人须自行承担后果。</w:t>
      </w:r>
    </w:p>
    <w:p w14:paraId="212BA07A">
      <w:pPr>
        <w:pStyle w:val="6"/>
        <w:spacing w:before="0" w:after="0" w:line="360" w:lineRule="exact"/>
        <w:ind w:firstLine="640"/>
        <w:rPr>
          <w:rFonts w:ascii="宋体" w:hAnsi="宋体"/>
          <w:sz w:val="36"/>
          <w:szCs w:val="36"/>
          <w:highlight w:val="none"/>
        </w:rPr>
      </w:pPr>
    </w:p>
    <w:p w14:paraId="00E73085">
      <w:pPr>
        <w:ind w:firstLine="637"/>
        <w:jc w:val="center"/>
        <w:rPr>
          <w:sz w:val="36"/>
          <w:highlight w:val="none"/>
        </w:rPr>
      </w:pPr>
    </w:p>
    <w:p w14:paraId="7D965707">
      <w:pPr>
        <w:ind w:firstLine="373"/>
        <w:rPr>
          <w:sz w:val="24"/>
          <w:szCs w:val="24"/>
          <w:highlight w:val="none"/>
        </w:rPr>
      </w:pPr>
      <w:r>
        <w:rPr>
          <w:rFonts w:hint="eastAsia"/>
          <w:b/>
          <w:bCs/>
          <w:highlight w:val="none"/>
        </w:rPr>
        <w:br w:type="page"/>
      </w:r>
    </w:p>
    <w:p w14:paraId="01822275">
      <w:pPr>
        <w:pStyle w:val="161"/>
        <w:spacing w:line="360" w:lineRule="auto"/>
        <w:ind w:firstLine="426"/>
        <w:jc w:val="center"/>
        <w:outlineLvl w:val="9"/>
        <w:rPr>
          <w:rFonts w:ascii="宋体" w:hAnsi="宋体" w:cs="Times New Roman"/>
          <w:b/>
          <w:bCs/>
          <w:sz w:val="24"/>
          <w:szCs w:val="24"/>
          <w:highlight w:val="none"/>
        </w:rPr>
      </w:pPr>
      <w:r>
        <w:rPr>
          <w:rFonts w:hint="eastAsia" w:ascii="宋体" w:hAnsi="宋体" w:cs="Times New Roman"/>
          <w:b/>
          <w:bCs/>
          <w:sz w:val="24"/>
          <w:szCs w:val="24"/>
          <w:highlight w:val="none"/>
        </w:rPr>
        <w:t>项目负责人有无在建项目任职的声明</w:t>
      </w:r>
    </w:p>
    <w:p w14:paraId="029DCB84">
      <w:pPr>
        <w:pStyle w:val="161"/>
        <w:spacing w:line="360" w:lineRule="auto"/>
        <w:ind w:firstLine="426"/>
        <w:jc w:val="center"/>
        <w:outlineLvl w:val="9"/>
        <w:rPr>
          <w:rFonts w:ascii="宋体" w:hAnsi="宋体" w:cs="Times New Roman"/>
          <w:b/>
          <w:bCs/>
          <w:sz w:val="24"/>
          <w:szCs w:val="24"/>
          <w:highlight w:val="none"/>
        </w:rPr>
      </w:pPr>
    </w:p>
    <w:p w14:paraId="01BAA9DF">
      <w:pPr>
        <w:pStyle w:val="161"/>
        <w:spacing w:line="360" w:lineRule="auto"/>
        <w:ind w:firstLine="426"/>
        <w:jc w:val="center"/>
        <w:outlineLvl w:val="9"/>
        <w:rPr>
          <w:rFonts w:ascii="宋体" w:hAnsi="宋体" w:cs="Times New Roman"/>
          <w:b/>
          <w:bCs/>
          <w:sz w:val="24"/>
          <w:szCs w:val="24"/>
          <w:highlight w:val="none"/>
        </w:rPr>
        <w:sectPr>
          <w:pgSz w:w="11906" w:h="16838"/>
          <w:pgMar w:top="1418" w:right="1134" w:bottom="1418" w:left="1134" w:header="737" w:footer="68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Times New Roman"/>
          <w:b/>
          <w:bCs/>
          <w:sz w:val="24"/>
          <w:szCs w:val="24"/>
          <w:highlight w:val="none"/>
        </w:rPr>
        <w:t>（格式自拟并加盖投标人公章）</w:t>
      </w:r>
    </w:p>
    <w:p w14:paraId="4E5980C6">
      <w:pPr>
        <w:pStyle w:val="161"/>
        <w:spacing w:line="360" w:lineRule="auto"/>
        <w:ind w:right="609" w:rightChars="290"/>
        <w:jc w:val="center"/>
        <w:outlineLvl w:val="9"/>
        <w:rPr>
          <w:rFonts w:ascii="宋体" w:cs="Times New Roman"/>
          <w:sz w:val="24"/>
          <w:szCs w:val="24"/>
          <w:highlight w:val="none"/>
        </w:rPr>
      </w:pPr>
      <w:r>
        <w:rPr>
          <w:rFonts w:hint="eastAsia" w:ascii="宋体" w:cs="Times New Roman"/>
          <w:sz w:val="24"/>
          <w:szCs w:val="24"/>
          <w:highlight w:val="none"/>
        </w:rPr>
        <w:t>附表三  企业信誉（信用）状况声明</w:t>
      </w:r>
    </w:p>
    <w:p w14:paraId="1C1DDB3C">
      <w:pPr>
        <w:jc w:val="center"/>
        <w:rPr>
          <w:sz w:val="24"/>
          <w:highlight w:val="none"/>
        </w:rPr>
      </w:pPr>
    </w:p>
    <w:p w14:paraId="4423F482">
      <w:pPr>
        <w:spacing w:line="400" w:lineRule="exact"/>
        <w:rPr>
          <w:rFonts w:ascii="黑体" w:eastAsia="黑体"/>
          <w:sz w:val="24"/>
          <w:szCs w:val="24"/>
          <w:highlight w:val="none"/>
          <w:u w:val="single"/>
        </w:rPr>
      </w:pPr>
      <w:r>
        <w:rPr>
          <w:rFonts w:hint="eastAsia" w:hAnsi="宋体" w:cs="宋体"/>
          <w:sz w:val="24"/>
          <w:szCs w:val="24"/>
          <w:highlight w:val="none"/>
        </w:rPr>
        <w:t>致：</w:t>
      </w:r>
      <w:r>
        <w:rPr>
          <w:rFonts w:hint="eastAsia" w:hAnsi="宋体" w:cs="宋体"/>
          <w:sz w:val="24"/>
          <w:szCs w:val="24"/>
          <w:highlight w:val="none"/>
          <w:u w:val="single"/>
        </w:rPr>
        <w:t xml:space="preserve">        （招标人）     </w:t>
      </w:r>
    </w:p>
    <w:p w14:paraId="7011F0BD">
      <w:pPr>
        <w:widowControl/>
        <w:shd w:val="clear" w:color="auto" w:fill="FFFFFF"/>
        <w:spacing w:line="400" w:lineRule="exact"/>
        <w:ind w:firstLine="425"/>
        <w:rPr>
          <w:rFonts w:hAnsi="宋体" w:cs="宋体"/>
          <w:sz w:val="24"/>
          <w:szCs w:val="24"/>
          <w:highlight w:val="none"/>
        </w:rPr>
      </w:pPr>
    </w:p>
    <w:p w14:paraId="1F2F068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Ansi="宋体" w:cs="宋体"/>
          <w:sz w:val="24"/>
          <w:szCs w:val="24"/>
          <w:highlight w:val="none"/>
        </w:rPr>
      </w:pPr>
      <w:r>
        <w:rPr>
          <w:rFonts w:hint="eastAsia" w:hAnsi="宋体" w:cs="宋体"/>
          <w:sz w:val="24"/>
          <w:szCs w:val="24"/>
          <w:highlight w:val="none"/>
        </w:rPr>
        <w:t>经慎重、认真核查，本单位郑重声明如下：</w:t>
      </w:r>
    </w:p>
    <w:p w14:paraId="09A91F2A">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一、我单位目前未处于被责令停业，财产被接管、冻结，破产状态。（“冻结 ”是指被“冻结 ”的财产影响到投标人或潜在投标人的履约能力。其中财产被全部冻结的，应当不具备投标资格；财产被部分冻结，但投标人可证明财产被冻结不影响其对本招标项目履约能力的，具备投标资格。）</w:t>
      </w:r>
    </w:p>
    <w:p w14:paraId="0A6CECE6">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二、我单位目前未处于被取消投标资格的行政处罚期内。</w:t>
      </w:r>
    </w:p>
    <w:p w14:paraId="14441377">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三、我单位近3年内没有骗取中标和严重违约及重大工程质量问题。（“骗取中标 ”是指依据《中华人民共和国行政处罚法》所作出的《行政处罚决定书》 中所认定的违法行为；“严重违约及重大工程质量问题”则以司法、仲裁机构等出具的生效文件予以认定，其中的“重大”工程质量问题是指生效文件认定的“重大”事故等级达到《关于做好房屋建筑和市政基础设施工程质量事故报告和调查处理工作的通知》和《生产安全事故报告和调查处理条例》的标准；“最近三年 ”是指自本招标项目招标公告发出之日起往前顺推3年，以《行政处罚决定书》或司法、仲裁机构等出具的生效文件的落款时间为准。）</w:t>
      </w:r>
    </w:p>
    <w:p w14:paraId="5CFCA5CD">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四、我单位目前未被佛山市各级人民法院列为失信被执行人。</w:t>
      </w:r>
    </w:p>
    <w:p w14:paraId="28E4D6FE">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五、我单位目前未被佛山市公共信用信息管理系统列入失信名单。</w:t>
      </w:r>
    </w:p>
    <w:p w14:paraId="1592B7A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6"/>
        <w:textAlignment w:val="auto"/>
        <w:rPr>
          <w:rFonts w:hAnsi="宋体" w:cs="宋体"/>
          <w:sz w:val="24"/>
          <w:szCs w:val="24"/>
          <w:highlight w:val="none"/>
        </w:rPr>
      </w:pPr>
      <w:r>
        <w:rPr>
          <w:rFonts w:hint="eastAsia" w:hAnsi="宋体" w:cs="宋体"/>
          <w:sz w:val="24"/>
          <w:szCs w:val="24"/>
          <w:highlight w:val="none"/>
        </w:rPr>
        <w:t>本单位不会向招标人、评标委员会故意隐瞒上述情况的相关信息。</w:t>
      </w:r>
    </w:p>
    <w:p w14:paraId="50EFF66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ascii="Times New Roman"/>
          <w:sz w:val="24"/>
          <w:szCs w:val="24"/>
          <w:highlight w:val="none"/>
        </w:rPr>
      </w:pPr>
    </w:p>
    <w:p w14:paraId="20A31A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ascii="Times New Roman"/>
          <w:sz w:val="24"/>
          <w:szCs w:val="24"/>
          <w:highlight w:val="none"/>
        </w:rPr>
      </w:pPr>
    </w:p>
    <w:p w14:paraId="026256E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Ansi="宋体" w:cs="宋体"/>
          <w:sz w:val="24"/>
          <w:szCs w:val="24"/>
          <w:highlight w:val="none"/>
        </w:rPr>
      </w:pPr>
    </w:p>
    <w:p w14:paraId="6A333C4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720" w:firstLineChars="2800"/>
        <w:textAlignment w:val="auto"/>
        <w:rPr>
          <w:rFonts w:hAnsi="宋体" w:cs="宋体"/>
          <w:sz w:val="24"/>
          <w:szCs w:val="24"/>
          <w:highlight w:val="none"/>
        </w:rPr>
      </w:pPr>
      <w:r>
        <w:rPr>
          <w:rFonts w:hint="eastAsia" w:hAnsi="宋体" w:cs="宋体"/>
          <w:sz w:val="24"/>
          <w:szCs w:val="24"/>
          <w:highlight w:val="none"/>
        </w:rPr>
        <w:t>投标单位（公章）：</w:t>
      </w:r>
    </w:p>
    <w:p w14:paraId="1630A29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hAnsi="宋体" w:cs="宋体"/>
          <w:sz w:val="24"/>
          <w:szCs w:val="24"/>
          <w:highlight w:val="none"/>
        </w:rPr>
      </w:pPr>
    </w:p>
    <w:p w14:paraId="258E2F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720" w:firstLineChars="2800"/>
        <w:textAlignment w:val="auto"/>
        <w:rPr>
          <w:rFonts w:hAnsi="宋体" w:cs="宋体"/>
          <w:sz w:val="24"/>
          <w:szCs w:val="24"/>
          <w:highlight w:val="none"/>
        </w:rPr>
      </w:pPr>
      <w:r>
        <w:rPr>
          <w:rFonts w:hint="eastAsia" w:hAnsi="宋体" w:cs="宋体"/>
          <w:sz w:val="24"/>
          <w:szCs w:val="24"/>
          <w:highlight w:val="none"/>
        </w:rPr>
        <w:t>法定代表人（</w:t>
      </w:r>
      <w:r>
        <w:rPr>
          <w:rFonts w:hint="eastAsia" w:hAnsi="宋体" w:cs="宋体"/>
          <w:sz w:val="24"/>
          <w:highlight w:val="none"/>
        </w:rPr>
        <w:t>签字</w:t>
      </w:r>
      <w:r>
        <w:rPr>
          <w:rFonts w:hint="eastAsia" w:hAnsi="宋体" w:cs="宋体"/>
          <w:sz w:val="24"/>
          <w:szCs w:val="24"/>
          <w:highlight w:val="none"/>
        </w:rPr>
        <w:t xml:space="preserve">）： </w:t>
      </w:r>
    </w:p>
    <w:p w14:paraId="3C0980D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hAnsi="宋体" w:cs="宋体"/>
          <w:sz w:val="24"/>
          <w:szCs w:val="24"/>
          <w:highlight w:val="none"/>
        </w:rPr>
      </w:pPr>
    </w:p>
    <w:p w14:paraId="7A6FB5E8">
      <w:pPr>
        <w:keepNext w:val="0"/>
        <w:keepLines w:val="0"/>
        <w:pageBreakBefore w:val="0"/>
        <w:widowControl/>
        <w:shd w:val="clear" w:color="auto" w:fill="FFFFFF"/>
        <w:kinsoku/>
        <w:wordWrap/>
        <w:overflowPunct/>
        <w:topLinePunct w:val="0"/>
        <w:autoSpaceDE/>
        <w:autoSpaceDN/>
        <w:bidi w:val="0"/>
        <w:adjustRightInd/>
        <w:snapToGrid/>
        <w:spacing w:line="440" w:lineRule="exact"/>
        <w:ind w:right="480"/>
        <w:jc w:val="center"/>
        <w:textAlignment w:val="auto"/>
        <w:rPr>
          <w:rFonts w:hAnsi="宋体" w:cs="宋体"/>
          <w:sz w:val="24"/>
          <w:szCs w:val="24"/>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hAnsi="宋体" w:cs="宋体"/>
          <w:sz w:val="24"/>
          <w:szCs w:val="24"/>
          <w:highlight w:val="none"/>
        </w:rPr>
        <w:t xml:space="preserve">                                             年  月  日</w:t>
      </w:r>
    </w:p>
    <w:p w14:paraId="327D1301">
      <w:pPr>
        <w:pStyle w:val="161"/>
        <w:numPr>
          <w:ilvl w:val="0"/>
          <w:numId w:val="2"/>
        </w:numPr>
        <w:ind w:firstLine="498"/>
        <w:jc w:val="center"/>
        <w:outlineLvl w:val="9"/>
        <w:rPr>
          <w:b/>
          <w:bCs/>
          <w:highlight w:val="none"/>
        </w:rPr>
      </w:pPr>
      <w:r>
        <w:rPr>
          <w:rFonts w:hint="eastAsia"/>
          <w:b/>
          <w:bCs/>
          <w:highlight w:val="none"/>
        </w:rPr>
        <w:t>其他评审材料</w:t>
      </w:r>
    </w:p>
    <w:p w14:paraId="2DC38DEB">
      <w:pPr>
        <w:widowControl/>
        <w:autoSpaceDE w:val="0"/>
        <w:autoSpaceDN w:val="0"/>
        <w:snapToGrid w:val="0"/>
        <w:spacing w:line="360" w:lineRule="auto"/>
        <w:ind w:firstLine="498"/>
        <w:jc w:val="center"/>
        <w:textAlignment w:val="bottom"/>
        <w:rPr>
          <w:rFonts w:ascii="Times New Roman" w:cs="宋体"/>
          <w:b/>
          <w:bCs/>
          <w:sz w:val="28"/>
          <w:highlight w:val="none"/>
        </w:rPr>
      </w:pPr>
    </w:p>
    <w:p w14:paraId="5D8899EA">
      <w:pPr>
        <w:widowControl/>
        <w:autoSpaceDE w:val="0"/>
        <w:autoSpaceDN w:val="0"/>
        <w:snapToGrid w:val="0"/>
        <w:spacing w:line="360" w:lineRule="auto"/>
        <w:ind w:firstLine="498"/>
        <w:jc w:val="center"/>
        <w:textAlignment w:val="bottom"/>
        <w:rPr>
          <w:rFonts w:ascii="Times New Roman" w:cs="宋体"/>
          <w:b/>
          <w:bCs/>
          <w:sz w:val="28"/>
          <w:highlight w:val="none"/>
        </w:rPr>
      </w:pPr>
      <w:r>
        <w:rPr>
          <w:rFonts w:hint="eastAsia" w:ascii="Times New Roman" w:cs="宋体"/>
          <w:b/>
          <w:bCs/>
          <w:sz w:val="28"/>
          <w:highlight w:val="none"/>
        </w:rPr>
        <w:t>综合评审索引表</w:t>
      </w:r>
    </w:p>
    <w:tbl>
      <w:tblPr>
        <w:tblStyle w:val="62"/>
        <w:tblW w:w="0" w:type="auto"/>
        <w:tblInd w:w="1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2825"/>
        <w:gridCol w:w="2464"/>
        <w:gridCol w:w="2464"/>
      </w:tblGrid>
      <w:tr w14:paraId="23A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68621F06">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825" w:type="dxa"/>
            <w:vAlign w:val="center"/>
          </w:tcPr>
          <w:p w14:paraId="025B5050">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评审内容</w:t>
            </w:r>
          </w:p>
        </w:tc>
        <w:tc>
          <w:tcPr>
            <w:tcW w:w="2464" w:type="dxa"/>
            <w:vAlign w:val="center"/>
          </w:tcPr>
          <w:p w14:paraId="1BDF6929">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自评得分</w:t>
            </w:r>
          </w:p>
        </w:tc>
        <w:tc>
          <w:tcPr>
            <w:tcW w:w="2464" w:type="dxa"/>
            <w:vAlign w:val="center"/>
          </w:tcPr>
          <w:p w14:paraId="7AECA05E">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所在页码</w:t>
            </w:r>
          </w:p>
        </w:tc>
      </w:tr>
      <w:tr w14:paraId="1BF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711B3894">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2825" w:type="dxa"/>
            <w:vAlign w:val="center"/>
          </w:tcPr>
          <w:p w14:paraId="636EEEAA">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3324575C">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93B0169">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3148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vAlign w:val="center"/>
          </w:tcPr>
          <w:p w14:paraId="250331AF">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2825" w:type="dxa"/>
            <w:vAlign w:val="center"/>
          </w:tcPr>
          <w:p w14:paraId="54120890">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4D49585E">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4768F3B2">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4201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24610199">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2825" w:type="dxa"/>
            <w:vAlign w:val="center"/>
          </w:tcPr>
          <w:p w14:paraId="68565F93">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7F1205CF">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5EBD653F">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0226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61D70F0E">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p>
        </w:tc>
        <w:tc>
          <w:tcPr>
            <w:tcW w:w="2825" w:type="dxa"/>
            <w:vAlign w:val="center"/>
          </w:tcPr>
          <w:p w14:paraId="249563DC">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7718062">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70B012CF">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583F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vAlign w:val="center"/>
          </w:tcPr>
          <w:p w14:paraId="5CD93582">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w:t>
            </w:r>
          </w:p>
        </w:tc>
        <w:tc>
          <w:tcPr>
            <w:tcW w:w="2825" w:type="dxa"/>
            <w:vAlign w:val="center"/>
          </w:tcPr>
          <w:p w14:paraId="7F9038D1">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36752BC0">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1F8E21D8">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37E3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4C3A12FB">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p>
        </w:tc>
        <w:tc>
          <w:tcPr>
            <w:tcW w:w="2825" w:type="dxa"/>
            <w:vAlign w:val="center"/>
          </w:tcPr>
          <w:p w14:paraId="69E6D066">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1517020">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4C27D97D">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22E7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1CAFEF6F">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w:t>
            </w:r>
          </w:p>
        </w:tc>
        <w:tc>
          <w:tcPr>
            <w:tcW w:w="2825" w:type="dxa"/>
            <w:vAlign w:val="center"/>
          </w:tcPr>
          <w:p w14:paraId="3EF2A0C8">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F454F27">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783E24F6">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bl>
    <w:p w14:paraId="09E6E405">
      <w:pPr>
        <w:widowControl/>
        <w:autoSpaceDE w:val="0"/>
        <w:autoSpaceDN w:val="0"/>
        <w:snapToGrid w:val="0"/>
        <w:spacing w:line="360" w:lineRule="auto"/>
        <w:ind w:firstLine="498"/>
        <w:textAlignment w:val="bottom"/>
        <w:rPr>
          <w:rFonts w:hint="eastAsia" w:ascii="Times New Roman" w:cs="宋体"/>
          <w:b/>
          <w:bCs/>
          <w:sz w:val="28"/>
          <w:highlight w:val="none"/>
        </w:rPr>
      </w:pPr>
    </w:p>
    <w:p w14:paraId="395B3AD0">
      <w:pPr>
        <w:widowControl/>
        <w:autoSpaceDE w:val="0"/>
        <w:autoSpaceDN w:val="0"/>
        <w:snapToGrid w:val="0"/>
        <w:spacing w:line="360" w:lineRule="auto"/>
        <w:ind w:firstLine="1226" w:firstLineChars="436"/>
        <w:textAlignment w:val="bottom"/>
        <w:rPr>
          <w:rFonts w:ascii="Times New Roman" w:cs="宋体"/>
          <w:b/>
          <w:bCs/>
          <w:sz w:val="28"/>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cs="宋体"/>
          <w:b/>
          <w:bCs/>
          <w:sz w:val="28"/>
          <w:highlight w:val="none"/>
        </w:rPr>
        <w:t>注：格式自拟。</w:t>
      </w:r>
    </w:p>
    <w:p w14:paraId="5CA0D0B3">
      <w:pPr>
        <w:pStyle w:val="161"/>
        <w:numPr>
          <w:ilvl w:val="0"/>
          <w:numId w:val="2"/>
        </w:numPr>
        <w:ind w:firstLine="498"/>
        <w:jc w:val="center"/>
        <w:outlineLvl w:val="9"/>
        <w:rPr>
          <w:b/>
          <w:bCs/>
          <w:highlight w:val="none"/>
        </w:rPr>
      </w:pPr>
      <w:r>
        <w:rPr>
          <w:rFonts w:hint="eastAsia"/>
          <w:b/>
          <w:bCs/>
          <w:highlight w:val="none"/>
        </w:rPr>
        <w:t>已标价工程量清单</w:t>
      </w:r>
    </w:p>
    <w:p w14:paraId="0A66D872">
      <w:pPr>
        <w:pStyle w:val="161"/>
        <w:ind w:firstLine="498"/>
        <w:outlineLvl w:val="9"/>
        <w:rPr>
          <w:b/>
          <w:bCs/>
          <w:highlight w:val="none"/>
        </w:rPr>
      </w:pPr>
    </w:p>
    <w:p w14:paraId="1421F55A">
      <w:pPr>
        <w:widowControl/>
        <w:autoSpaceDE w:val="0"/>
        <w:autoSpaceDN w:val="0"/>
        <w:snapToGrid w:val="0"/>
        <w:spacing w:line="360" w:lineRule="auto"/>
        <w:ind w:firstLine="498"/>
        <w:textAlignment w:val="bottom"/>
        <w:rPr>
          <w:rFonts w:ascii="Times New Roman" w:cs="宋体"/>
          <w:b/>
          <w:bCs/>
          <w:sz w:val="28"/>
          <w:highlight w:val="none"/>
        </w:rPr>
      </w:pPr>
    </w:p>
    <w:p w14:paraId="33A42F75">
      <w:pPr>
        <w:pStyle w:val="161"/>
        <w:ind w:firstLine="498"/>
        <w:outlineLvl w:val="9"/>
        <w:rPr>
          <w:b/>
          <w:bCs/>
          <w:highlight w:val="none"/>
        </w:rPr>
      </w:pPr>
    </w:p>
    <w:p w14:paraId="39721718">
      <w:pPr>
        <w:keepLines/>
        <w:pageBreakBefore/>
        <w:spacing w:before="240" w:after="240" w:line="360" w:lineRule="auto"/>
        <w:ind w:firstLine="569"/>
        <w:jc w:val="center"/>
        <w:outlineLvl w:val="0"/>
        <w:rPr>
          <w:rFonts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评标办法（综合评估法）</w:t>
      </w:r>
    </w:p>
    <w:p w14:paraId="30E78E2C">
      <w:pPr>
        <w:ind w:firstLine="496"/>
        <w:rPr>
          <w:rFonts w:ascii="宋体" w:hAnsi="宋体" w:eastAsia="宋体" w:cs="TimesNewRomanPSMT"/>
          <w:kern w:val="0"/>
          <w:sz w:val="28"/>
          <w:szCs w:val="28"/>
          <w:highlight w:val="none"/>
        </w:rPr>
      </w:pPr>
      <w:bookmarkStart w:id="255" w:name="_Toc82766170"/>
      <w:bookmarkStart w:id="256" w:name="_Toc87351515"/>
      <w:r>
        <w:rPr>
          <w:rFonts w:hint="eastAsia" w:ascii="宋体" w:hAnsi="宋体" w:eastAsia="宋体" w:cs="TimesNewRomanPSMT"/>
          <w:kern w:val="0"/>
          <w:sz w:val="28"/>
          <w:szCs w:val="28"/>
          <w:highlight w:val="none"/>
        </w:rPr>
        <w:t>评标办法前附表</w:t>
      </w:r>
      <w:bookmarkEnd w:id="255"/>
      <w:bookmarkEnd w:id="256"/>
    </w:p>
    <w:tbl>
      <w:tblPr>
        <w:tblStyle w:val="61"/>
        <w:tblW w:w="98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96"/>
        <w:gridCol w:w="1338"/>
        <w:gridCol w:w="1994"/>
        <w:gridCol w:w="5431"/>
      </w:tblGrid>
      <w:tr w14:paraId="2978C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462"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2E0C7E4D">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条款号</w:t>
            </w:r>
          </w:p>
        </w:tc>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14:paraId="489F13BF">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评审因素</w:t>
            </w:r>
          </w:p>
        </w:tc>
        <w:tc>
          <w:tcPr>
            <w:tcW w:w="5431" w:type="dxa"/>
            <w:tcBorders>
              <w:top w:val="single" w:color="auto" w:sz="4" w:space="0"/>
              <w:left w:val="single" w:color="auto" w:sz="4" w:space="0"/>
              <w:bottom w:val="single" w:color="auto" w:sz="4" w:space="0"/>
              <w:right w:val="single" w:color="auto" w:sz="4" w:space="0"/>
            </w:tcBorders>
            <w:shd w:val="clear" w:color="auto" w:fill="E6E6E6"/>
            <w:vAlign w:val="center"/>
          </w:tcPr>
          <w:p w14:paraId="187BEE1C">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评审标准</w:t>
            </w:r>
          </w:p>
        </w:tc>
      </w:tr>
      <w:tr w14:paraId="41E0B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D23A7C4">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2.1.1</w:t>
            </w:r>
          </w:p>
        </w:tc>
        <w:tc>
          <w:tcPr>
            <w:tcW w:w="1634" w:type="dxa"/>
            <w:gridSpan w:val="2"/>
            <w:vMerge w:val="restart"/>
            <w:tcBorders>
              <w:top w:val="single" w:color="auto" w:sz="4" w:space="0"/>
              <w:bottom w:val="single" w:color="auto" w:sz="4" w:space="0"/>
              <w:right w:val="single" w:color="auto" w:sz="4" w:space="0"/>
            </w:tcBorders>
            <w:vAlign w:val="center"/>
          </w:tcPr>
          <w:p w14:paraId="1ED8242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形式评审标准</w:t>
            </w:r>
          </w:p>
        </w:tc>
        <w:tc>
          <w:tcPr>
            <w:tcW w:w="1994" w:type="dxa"/>
            <w:tcBorders>
              <w:top w:val="single" w:color="auto" w:sz="4" w:space="0"/>
              <w:left w:val="single" w:color="auto" w:sz="4" w:space="0"/>
              <w:bottom w:val="single" w:color="auto" w:sz="4" w:space="0"/>
              <w:right w:val="single" w:color="auto" w:sz="4" w:space="0"/>
            </w:tcBorders>
            <w:vAlign w:val="center"/>
          </w:tcPr>
          <w:p w14:paraId="4CC08E4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p>
        </w:tc>
        <w:tc>
          <w:tcPr>
            <w:tcW w:w="5431" w:type="dxa"/>
            <w:tcBorders>
              <w:top w:val="single" w:color="auto" w:sz="4" w:space="0"/>
              <w:left w:val="single" w:color="auto" w:sz="4" w:space="0"/>
              <w:bottom w:val="single" w:color="auto" w:sz="4" w:space="0"/>
              <w:right w:val="single" w:color="auto" w:sz="4" w:space="0"/>
            </w:tcBorders>
            <w:vAlign w:val="center"/>
          </w:tcPr>
          <w:p w14:paraId="454CA5D2">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与营业执照、资质证书、安全生产许可证、</w:t>
            </w:r>
            <w:r>
              <w:rPr>
                <w:rFonts w:hint="eastAsia" w:ascii="宋体" w:hAnsi="宋体" w:eastAsia="宋体" w:cs="宋体"/>
                <w:bCs/>
                <w:sz w:val="24"/>
                <w:szCs w:val="24"/>
                <w:highlight w:val="none"/>
              </w:rPr>
              <w:t>诚信档案</w:t>
            </w:r>
            <w:r>
              <w:rPr>
                <w:rFonts w:hint="eastAsia" w:ascii="宋体" w:hAnsi="宋体" w:eastAsia="宋体" w:cs="宋体"/>
                <w:bCs/>
                <w:kern w:val="0"/>
                <w:sz w:val="24"/>
                <w:szCs w:val="24"/>
                <w:highlight w:val="none"/>
              </w:rPr>
              <w:t>等证件的单位名称一致</w:t>
            </w:r>
          </w:p>
        </w:tc>
      </w:tr>
      <w:tr w14:paraId="199E2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left w:val="single" w:color="auto" w:sz="4" w:space="0"/>
              <w:bottom w:val="single" w:color="auto" w:sz="4" w:space="0"/>
              <w:right w:val="single" w:color="auto" w:sz="4" w:space="0"/>
            </w:tcBorders>
            <w:vAlign w:val="center"/>
          </w:tcPr>
          <w:p w14:paraId="712A04A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top w:val="nil"/>
              <w:bottom w:val="single" w:color="auto" w:sz="4" w:space="0"/>
              <w:right w:val="single" w:color="auto" w:sz="4" w:space="0"/>
            </w:tcBorders>
            <w:vAlign w:val="center"/>
          </w:tcPr>
          <w:p w14:paraId="3F7719F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433AFC3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投标文件签字盖章</w:t>
            </w:r>
          </w:p>
        </w:tc>
        <w:tc>
          <w:tcPr>
            <w:tcW w:w="5431" w:type="dxa"/>
            <w:tcBorders>
              <w:top w:val="single" w:color="auto" w:sz="4" w:space="0"/>
              <w:left w:val="single" w:color="auto" w:sz="4" w:space="0"/>
              <w:bottom w:val="single" w:color="auto" w:sz="4" w:space="0"/>
              <w:right w:val="single" w:color="auto" w:sz="4" w:space="0"/>
            </w:tcBorders>
            <w:vAlign w:val="center"/>
          </w:tcPr>
          <w:p w14:paraId="48CB45B3">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符合招标文件格式中签字盖章的要求</w:t>
            </w:r>
          </w:p>
        </w:tc>
      </w:tr>
      <w:tr w14:paraId="429FF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left w:val="single" w:color="auto" w:sz="4" w:space="0"/>
              <w:bottom w:val="single" w:color="auto" w:sz="4" w:space="0"/>
              <w:right w:val="single" w:color="auto" w:sz="4" w:space="0"/>
            </w:tcBorders>
            <w:vAlign w:val="center"/>
          </w:tcPr>
          <w:p w14:paraId="7B04154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top w:val="nil"/>
              <w:bottom w:val="single" w:color="auto" w:sz="4" w:space="0"/>
              <w:right w:val="single" w:color="auto" w:sz="4" w:space="0"/>
            </w:tcBorders>
            <w:vAlign w:val="center"/>
          </w:tcPr>
          <w:p w14:paraId="2179DBE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365190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报价唯一</w:t>
            </w:r>
          </w:p>
        </w:tc>
        <w:tc>
          <w:tcPr>
            <w:tcW w:w="5431" w:type="dxa"/>
            <w:tcBorders>
              <w:top w:val="single" w:color="auto" w:sz="4" w:space="0"/>
              <w:left w:val="single" w:color="auto" w:sz="4" w:space="0"/>
              <w:bottom w:val="single" w:color="auto" w:sz="4" w:space="0"/>
              <w:right w:val="single" w:color="auto" w:sz="4" w:space="0"/>
            </w:tcBorders>
            <w:vAlign w:val="center"/>
          </w:tcPr>
          <w:p w14:paraId="6BDF0945">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只能有一个有效报价</w:t>
            </w:r>
          </w:p>
        </w:tc>
      </w:tr>
      <w:tr w14:paraId="41863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right w:val="single" w:color="auto" w:sz="4" w:space="0"/>
            </w:tcBorders>
            <w:vAlign w:val="center"/>
          </w:tcPr>
          <w:p w14:paraId="7F65F61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2.1.2</w:t>
            </w:r>
          </w:p>
        </w:tc>
        <w:tc>
          <w:tcPr>
            <w:tcW w:w="1634" w:type="dxa"/>
            <w:gridSpan w:val="2"/>
            <w:vMerge w:val="restart"/>
            <w:tcBorders>
              <w:top w:val="single" w:color="auto" w:sz="4" w:space="0"/>
              <w:right w:val="single" w:color="auto" w:sz="4" w:space="0"/>
            </w:tcBorders>
            <w:vAlign w:val="center"/>
          </w:tcPr>
          <w:p w14:paraId="725F250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资格评审标准</w:t>
            </w:r>
          </w:p>
        </w:tc>
        <w:tc>
          <w:tcPr>
            <w:tcW w:w="1994" w:type="dxa"/>
            <w:tcBorders>
              <w:top w:val="single" w:color="auto" w:sz="4" w:space="0"/>
              <w:left w:val="single" w:color="auto" w:sz="4" w:space="0"/>
              <w:bottom w:val="single" w:color="auto" w:sz="4" w:space="0"/>
              <w:right w:val="single" w:color="auto" w:sz="4" w:space="0"/>
            </w:tcBorders>
            <w:vAlign w:val="center"/>
          </w:tcPr>
          <w:p w14:paraId="0DD2305E">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营业执照</w:t>
            </w:r>
          </w:p>
        </w:tc>
        <w:tc>
          <w:tcPr>
            <w:tcW w:w="5431" w:type="dxa"/>
            <w:tcBorders>
              <w:top w:val="single" w:color="auto" w:sz="4" w:space="0"/>
              <w:left w:val="single" w:color="auto" w:sz="4" w:space="0"/>
              <w:bottom w:val="single" w:color="auto" w:sz="4" w:space="0"/>
              <w:right w:val="single" w:color="auto" w:sz="4" w:space="0"/>
            </w:tcBorders>
            <w:vAlign w:val="center"/>
          </w:tcPr>
          <w:p w14:paraId="75020C52">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具备有效的营业执照</w:t>
            </w:r>
          </w:p>
        </w:tc>
      </w:tr>
      <w:tr w14:paraId="75A9D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4501D5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6AB5FC6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82C6CCF">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资质等级</w:t>
            </w:r>
          </w:p>
        </w:tc>
        <w:tc>
          <w:tcPr>
            <w:tcW w:w="5431" w:type="dxa"/>
            <w:tcBorders>
              <w:top w:val="single" w:color="auto" w:sz="4" w:space="0"/>
              <w:left w:val="single" w:color="auto" w:sz="4" w:space="0"/>
              <w:bottom w:val="single" w:color="auto" w:sz="4" w:space="0"/>
              <w:right w:val="single" w:color="auto" w:sz="4" w:space="0"/>
            </w:tcBorders>
            <w:vAlign w:val="center"/>
          </w:tcPr>
          <w:p w14:paraId="20AE6B98">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39FBE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00B148A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550EB12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6A186D5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安全生产许可证</w:t>
            </w:r>
          </w:p>
        </w:tc>
        <w:tc>
          <w:tcPr>
            <w:tcW w:w="5431" w:type="dxa"/>
            <w:tcBorders>
              <w:top w:val="single" w:color="auto" w:sz="4" w:space="0"/>
              <w:left w:val="single" w:color="auto" w:sz="4" w:space="0"/>
              <w:bottom w:val="single" w:color="auto" w:sz="4" w:space="0"/>
              <w:right w:val="single" w:color="auto" w:sz="4" w:space="0"/>
            </w:tcBorders>
            <w:vAlign w:val="center"/>
          </w:tcPr>
          <w:p w14:paraId="60C3CE4C">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具备有效的安全生产许可证</w:t>
            </w:r>
          </w:p>
        </w:tc>
      </w:tr>
      <w:tr w14:paraId="6799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052C981A">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2EB083C8">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10BF4D5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行业诚信档案、进粤登记</w:t>
            </w:r>
          </w:p>
        </w:tc>
        <w:tc>
          <w:tcPr>
            <w:tcW w:w="5431" w:type="dxa"/>
            <w:tcBorders>
              <w:top w:val="single" w:color="auto" w:sz="4" w:space="0"/>
              <w:left w:val="single" w:color="auto" w:sz="4" w:space="0"/>
              <w:bottom w:val="single" w:color="auto" w:sz="4" w:space="0"/>
              <w:right w:val="single" w:color="auto" w:sz="4" w:space="0"/>
            </w:tcBorders>
            <w:vAlign w:val="center"/>
          </w:tcPr>
          <w:p w14:paraId="02E37055">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0B8AF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F4A2F81">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10F50EE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DAD884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项目负责人</w:t>
            </w:r>
          </w:p>
        </w:tc>
        <w:tc>
          <w:tcPr>
            <w:tcW w:w="5431" w:type="dxa"/>
            <w:tcBorders>
              <w:top w:val="single" w:color="auto" w:sz="4" w:space="0"/>
              <w:left w:val="single" w:color="auto" w:sz="4" w:space="0"/>
              <w:bottom w:val="single" w:color="auto" w:sz="4" w:space="0"/>
              <w:right w:val="single" w:color="auto" w:sz="4" w:space="0"/>
            </w:tcBorders>
            <w:vAlign w:val="center"/>
          </w:tcPr>
          <w:p w14:paraId="4AA8C8DD">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24802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1B6E18FB">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06ECC09F">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1062A8EF">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信誉</w:t>
            </w:r>
          </w:p>
        </w:tc>
        <w:tc>
          <w:tcPr>
            <w:tcW w:w="5431" w:type="dxa"/>
            <w:tcBorders>
              <w:top w:val="single" w:color="auto" w:sz="4" w:space="0"/>
              <w:left w:val="single" w:color="auto" w:sz="4" w:space="0"/>
              <w:bottom w:val="single" w:color="auto" w:sz="4" w:space="0"/>
              <w:right w:val="single" w:color="auto" w:sz="4" w:space="0"/>
            </w:tcBorders>
            <w:vAlign w:val="center"/>
          </w:tcPr>
          <w:p w14:paraId="18388CB9">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11DCF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right w:val="single" w:color="auto" w:sz="4" w:space="0"/>
            </w:tcBorders>
            <w:vAlign w:val="center"/>
          </w:tcPr>
          <w:p w14:paraId="0472E05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2.1.3</w:t>
            </w:r>
          </w:p>
        </w:tc>
        <w:tc>
          <w:tcPr>
            <w:tcW w:w="1634" w:type="dxa"/>
            <w:gridSpan w:val="2"/>
            <w:vMerge w:val="restart"/>
            <w:tcBorders>
              <w:top w:val="single" w:color="auto" w:sz="4" w:space="0"/>
              <w:right w:val="single" w:color="auto" w:sz="4" w:space="0"/>
            </w:tcBorders>
            <w:vAlign w:val="center"/>
          </w:tcPr>
          <w:p w14:paraId="4D1CFEEE">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响应性评审</w:t>
            </w:r>
          </w:p>
          <w:p w14:paraId="155F511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标准</w:t>
            </w:r>
          </w:p>
        </w:tc>
        <w:tc>
          <w:tcPr>
            <w:tcW w:w="1994" w:type="dxa"/>
            <w:tcBorders>
              <w:top w:val="single" w:color="auto" w:sz="4" w:space="0"/>
              <w:left w:val="single" w:color="auto" w:sz="4" w:space="0"/>
              <w:bottom w:val="single" w:color="auto" w:sz="4" w:space="0"/>
              <w:right w:val="single" w:color="auto" w:sz="4" w:space="0"/>
            </w:tcBorders>
            <w:vAlign w:val="center"/>
          </w:tcPr>
          <w:p w14:paraId="3B85533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投标范围</w:t>
            </w:r>
          </w:p>
        </w:tc>
        <w:tc>
          <w:tcPr>
            <w:tcW w:w="5431" w:type="dxa"/>
            <w:tcBorders>
              <w:top w:val="single" w:color="auto" w:sz="4" w:space="0"/>
              <w:left w:val="single" w:color="auto" w:sz="4" w:space="0"/>
              <w:bottom w:val="single" w:color="auto" w:sz="4" w:space="0"/>
              <w:right w:val="single" w:color="auto" w:sz="4" w:space="0"/>
            </w:tcBorders>
            <w:vAlign w:val="center"/>
          </w:tcPr>
          <w:p w14:paraId="3FBC9EE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37DB7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6DD50DC5">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7398E90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6264A828">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工期</w:t>
            </w:r>
          </w:p>
        </w:tc>
        <w:tc>
          <w:tcPr>
            <w:tcW w:w="5431" w:type="dxa"/>
            <w:tcBorders>
              <w:top w:val="single" w:color="auto" w:sz="4" w:space="0"/>
              <w:left w:val="single" w:color="auto" w:sz="4" w:space="0"/>
              <w:bottom w:val="single" w:color="auto" w:sz="4" w:space="0"/>
              <w:right w:val="single" w:color="auto" w:sz="4" w:space="0"/>
            </w:tcBorders>
            <w:vAlign w:val="center"/>
          </w:tcPr>
          <w:p w14:paraId="5805185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3F04C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13E75EC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43C5C53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7CEE9A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工程质量</w:t>
            </w:r>
          </w:p>
        </w:tc>
        <w:tc>
          <w:tcPr>
            <w:tcW w:w="5431" w:type="dxa"/>
            <w:tcBorders>
              <w:top w:val="single" w:color="auto" w:sz="4" w:space="0"/>
              <w:left w:val="single" w:color="auto" w:sz="4" w:space="0"/>
              <w:bottom w:val="single" w:color="auto" w:sz="4" w:space="0"/>
              <w:right w:val="single" w:color="auto" w:sz="4" w:space="0"/>
            </w:tcBorders>
            <w:vAlign w:val="center"/>
          </w:tcPr>
          <w:p w14:paraId="260EB9B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55FC1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DB6083E">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632306EB">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2102270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投标有效期</w:t>
            </w:r>
          </w:p>
        </w:tc>
        <w:tc>
          <w:tcPr>
            <w:tcW w:w="5431" w:type="dxa"/>
            <w:tcBorders>
              <w:top w:val="single" w:color="auto" w:sz="4" w:space="0"/>
              <w:left w:val="single" w:color="auto" w:sz="4" w:space="0"/>
              <w:bottom w:val="single" w:color="auto" w:sz="4" w:space="0"/>
              <w:right w:val="single" w:color="auto" w:sz="4" w:space="0"/>
            </w:tcBorders>
            <w:vAlign w:val="center"/>
          </w:tcPr>
          <w:p w14:paraId="65CA0E75">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14939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A7819E7">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00EC61C4">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B473781">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权利义务</w:t>
            </w:r>
          </w:p>
        </w:tc>
        <w:tc>
          <w:tcPr>
            <w:tcW w:w="5431" w:type="dxa"/>
            <w:tcBorders>
              <w:top w:val="single" w:color="auto" w:sz="4" w:space="0"/>
              <w:left w:val="single" w:color="auto" w:sz="4" w:space="0"/>
              <w:bottom w:val="single" w:color="auto" w:sz="4" w:space="0"/>
              <w:right w:val="single" w:color="auto" w:sz="4" w:space="0"/>
            </w:tcBorders>
            <w:vAlign w:val="center"/>
          </w:tcPr>
          <w:p w14:paraId="7B52ABD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符合“合同条款及格式”规定</w:t>
            </w:r>
          </w:p>
        </w:tc>
      </w:tr>
      <w:tr w14:paraId="07E1A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13C9FF8A">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7904308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15D0EE9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已标价工程量清单</w:t>
            </w:r>
          </w:p>
        </w:tc>
        <w:tc>
          <w:tcPr>
            <w:tcW w:w="5431" w:type="dxa"/>
            <w:tcBorders>
              <w:top w:val="single" w:color="auto" w:sz="4" w:space="0"/>
              <w:left w:val="single" w:color="auto" w:sz="4" w:space="0"/>
              <w:bottom w:val="single" w:color="auto" w:sz="4" w:space="0"/>
              <w:right w:val="single" w:color="auto" w:sz="4" w:space="0"/>
            </w:tcBorders>
            <w:vAlign w:val="center"/>
          </w:tcPr>
          <w:p w14:paraId="481814B2">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63526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0EA470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2D331BB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AF688E5">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技术标准和要求</w:t>
            </w:r>
          </w:p>
        </w:tc>
        <w:tc>
          <w:tcPr>
            <w:tcW w:w="5431" w:type="dxa"/>
            <w:tcBorders>
              <w:top w:val="single" w:color="auto" w:sz="4" w:space="0"/>
              <w:left w:val="single" w:color="auto" w:sz="4" w:space="0"/>
              <w:bottom w:val="single" w:color="auto" w:sz="4" w:space="0"/>
              <w:right w:val="single" w:color="auto" w:sz="4" w:space="0"/>
            </w:tcBorders>
            <w:vAlign w:val="center"/>
          </w:tcPr>
          <w:p w14:paraId="2C270480">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5282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bottom w:val="single" w:color="auto" w:sz="4" w:space="0"/>
              <w:right w:val="single" w:color="auto" w:sz="4" w:space="0"/>
            </w:tcBorders>
            <w:vAlign w:val="center"/>
          </w:tcPr>
          <w:p w14:paraId="2A7E74AA">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bottom w:val="single" w:color="auto" w:sz="4" w:space="0"/>
              <w:right w:val="single" w:color="auto" w:sz="4" w:space="0"/>
            </w:tcBorders>
            <w:vAlign w:val="center"/>
          </w:tcPr>
          <w:p w14:paraId="3FABCA17">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42EF759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投标价格</w:t>
            </w:r>
          </w:p>
        </w:tc>
        <w:tc>
          <w:tcPr>
            <w:tcW w:w="5431" w:type="dxa"/>
            <w:tcBorders>
              <w:top w:val="single" w:color="auto" w:sz="4" w:space="0"/>
              <w:left w:val="single" w:color="auto" w:sz="4" w:space="0"/>
              <w:bottom w:val="single" w:color="auto" w:sz="4" w:space="0"/>
              <w:right w:val="single" w:color="auto" w:sz="4" w:space="0"/>
            </w:tcBorders>
            <w:vAlign w:val="center"/>
          </w:tcPr>
          <w:p w14:paraId="015C6353">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4D366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2"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0BBE4191">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条款号</w:t>
            </w:r>
          </w:p>
        </w:tc>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14:paraId="167356C9">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条款内容</w:t>
            </w:r>
          </w:p>
        </w:tc>
        <w:tc>
          <w:tcPr>
            <w:tcW w:w="5431" w:type="dxa"/>
            <w:tcBorders>
              <w:top w:val="single" w:color="auto" w:sz="4" w:space="0"/>
              <w:left w:val="single" w:color="auto" w:sz="4" w:space="0"/>
              <w:bottom w:val="single" w:color="auto" w:sz="4" w:space="0"/>
              <w:right w:val="single" w:color="auto" w:sz="4" w:space="0"/>
            </w:tcBorders>
            <w:shd w:val="clear" w:color="auto" w:fill="E6E6E6"/>
            <w:vAlign w:val="center"/>
          </w:tcPr>
          <w:p w14:paraId="7AAC28BF">
            <w:pPr>
              <w:keepNext w:val="0"/>
              <w:keepLines w:val="0"/>
              <w:pageBreakBefore w:val="0"/>
              <w:wordWrap/>
              <w:overflowPunct/>
              <w:topLinePunct w:val="0"/>
              <w:bidi w:val="0"/>
              <w:spacing w:line="360" w:lineRule="auto"/>
              <w:ind w:firstLine="426"/>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编列内容</w:t>
            </w:r>
          </w:p>
        </w:tc>
      </w:tr>
      <w:tr w14:paraId="14675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3"/>
            <w:tcBorders>
              <w:top w:val="single" w:color="auto" w:sz="4" w:space="0"/>
              <w:left w:val="single" w:color="auto" w:sz="4" w:space="0"/>
              <w:bottom w:val="single" w:color="auto" w:sz="4" w:space="0"/>
              <w:right w:val="single" w:color="auto" w:sz="4" w:space="0"/>
            </w:tcBorders>
            <w:vAlign w:val="center"/>
          </w:tcPr>
          <w:p w14:paraId="0199B54B">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2.2.1</w:t>
            </w:r>
          </w:p>
        </w:tc>
        <w:tc>
          <w:tcPr>
            <w:tcW w:w="1994" w:type="dxa"/>
            <w:tcBorders>
              <w:top w:val="single" w:color="auto" w:sz="4" w:space="0"/>
              <w:left w:val="single" w:color="auto" w:sz="4" w:space="0"/>
              <w:bottom w:val="single" w:color="auto" w:sz="4" w:space="0"/>
              <w:right w:val="single" w:color="auto" w:sz="4" w:space="0"/>
            </w:tcBorders>
            <w:vAlign w:val="center"/>
          </w:tcPr>
          <w:p w14:paraId="6FD11DCD">
            <w:pPr>
              <w:keepNext w:val="0"/>
              <w:keepLines w:val="0"/>
              <w:pageBreakBefore w:val="0"/>
              <w:widowControl/>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分值构成</w:t>
            </w:r>
          </w:p>
        </w:tc>
        <w:tc>
          <w:tcPr>
            <w:tcW w:w="5431" w:type="dxa"/>
            <w:tcBorders>
              <w:top w:val="single" w:color="auto" w:sz="4" w:space="0"/>
              <w:left w:val="single" w:color="auto" w:sz="4" w:space="0"/>
              <w:bottom w:val="single" w:color="auto" w:sz="4" w:space="0"/>
              <w:right w:val="single" w:color="auto" w:sz="4" w:space="0"/>
            </w:tcBorders>
            <w:vAlign w:val="center"/>
          </w:tcPr>
          <w:p w14:paraId="3FD80094">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总分：100分。其中：技术标： 10 分</w:t>
            </w:r>
          </w:p>
          <w:p w14:paraId="7D32378D">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资信标： 20 分，经济标： 70 分</w:t>
            </w:r>
          </w:p>
          <w:p w14:paraId="5E01C09D">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注：小型工程、中型工程施工类项目，资信标权重区间为20%～30%，技术标权重区间为5%～10%，经济标权重区间为60%～75%。</w:t>
            </w:r>
          </w:p>
          <w:p w14:paraId="15AFD8D5">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大型工程或者招标控制价1亿元以上的施工类项目，资信标权重区间为25%～40%，技术标权重区间为10%～20%，经济标权重区间为40%～65%。</w:t>
            </w:r>
          </w:p>
          <w:p w14:paraId="7BCBBEFC">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行业主管部门尚未开展信用评价和履约评价的行业，小型工程、中型工程施工类项目，资信标权重区间为15%～30%，技术标权重区间为5%～10%，经济标权重区间为60%～80%。</w:t>
            </w:r>
          </w:p>
        </w:tc>
      </w:tr>
      <w:tr w14:paraId="35B1B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3"/>
            <w:tcBorders>
              <w:top w:val="single" w:color="auto" w:sz="4" w:space="0"/>
              <w:left w:val="single" w:color="auto" w:sz="4" w:space="0"/>
              <w:bottom w:val="single" w:color="auto" w:sz="4" w:space="0"/>
              <w:right w:val="single" w:color="auto" w:sz="4" w:space="0"/>
            </w:tcBorders>
            <w:vAlign w:val="center"/>
          </w:tcPr>
          <w:p w14:paraId="2F2A47F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2.2.2</w:t>
            </w:r>
          </w:p>
        </w:tc>
        <w:tc>
          <w:tcPr>
            <w:tcW w:w="1994" w:type="dxa"/>
            <w:tcBorders>
              <w:top w:val="single" w:color="auto" w:sz="4" w:space="0"/>
              <w:left w:val="single" w:color="auto" w:sz="4" w:space="0"/>
              <w:bottom w:val="single" w:color="auto" w:sz="4" w:space="0"/>
              <w:right w:val="single" w:color="auto" w:sz="4" w:space="0"/>
            </w:tcBorders>
            <w:vAlign w:val="center"/>
          </w:tcPr>
          <w:p w14:paraId="585D6755">
            <w:pPr>
              <w:keepNext w:val="0"/>
              <w:keepLines w:val="0"/>
              <w:pageBreakBefore w:val="0"/>
              <w:widowControl/>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评标基准价（Q值）计算方法</w:t>
            </w:r>
          </w:p>
        </w:tc>
        <w:tc>
          <w:tcPr>
            <w:tcW w:w="5431" w:type="dxa"/>
            <w:tcBorders>
              <w:top w:val="single" w:color="auto" w:sz="4" w:space="0"/>
              <w:left w:val="single" w:color="auto" w:sz="4" w:space="0"/>
              <w:bottom w:val="single" w:color="auto" w:sz="4" w:space="0"/>
              <w:right w:val="single" w:color="auto" w:sz="4" w:space="0"/>
            </w:tcBorders>
            <w:vAlign w:val="center"/>
          </w:tcPr>
          <w:p w14:paraId="1C959417">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1.以合理平均值作为评标基准价的计算方法如下：</w:t>
            </w:r>
          </w:p>
          <w:p w14:paraId="106B99E8">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合理平均值=招标控制价×（1-下浮率k），从 1 %～ 10 %中（具体由招标人在1%～10%中确定，区间内跨度不小于5%），以0.2%为一档等差增序排号，一次性随机抽取3个不同数值，3个数值的平均值即为下浮率k。</w:t>
            </w:r>
          </w:p>
          <w:p w14:paraId="39C03737">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2.以综合平均值作为评标基准价的计算方法如下：</w:t>
            </w:r>
          </w:p>
          <w:p w14:paraId="7C7848D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基准价=（A+B）/2，A值=招标控制价×（1-下浮率k），下浮率K按照合理平均值的确定方式执行。B值为进入第二阶段评审的所有有效投标报价算术平均值（当有效投标报价数量大于等于7家时，去掉一个最高报价和一个最低报价后进行算术平均）。</w:t>
            </w:r>
          </w:p>
          <w:p w14:paraId="5C8ABA0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3.投标人的有效投标报价低于风险控制价的不参与评标基准价的计算，但仍参与经济标的计算。（如有）</w:t>
            </w:r>
          </w:p>
          <w:p w14:paraId="234CC36D">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4.除计算错误外，评标基准价不因招标投标当事人异议、投诉、复核以及其他任何情形而改变。</w:t>
            </w:r>
          </w:p>
          <w:p w14:paraId="00809A79">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注：k四舍五入精确至0.01％，其它计算值四舍五入，保留两位有效小数。</w:t>
            </w:r>
          </w:p>
        </w:tc>
      </w:tr>
      <w:tr w14:paraId="1F342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3"/>
            <w:tcBorders>
              <w:top w:val="single" w:color="auto" w:sz="4" w:space="0"/>
              <w:left w:val="single" w:color="auto" w:sz="4" w:space="0"/>
              <w:bottom w:val="single" w:color="auto" w:sz="4" w:space="0"/>
              <w:right w:val="single" w:color="auto" w:sz="4" w:space="0"/>
            </w:tcBorders>
            <w:vAlign w:val="center"/>
          </w:tcPr>
          <w:p w14:paraId="071A8EE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2.2.3</w:t>
            </w:r>
          </w:p>
        </w:tc>
        <w:tc>
          <w:tcPr>
            <w:tcW w:w="1994" w:type="dxa"/>
            <w:tcBorders>
              <w:top w:val="single" w:color="auto" w:sz="4" w:space="0"/>
              <w:left w:val="single" w:color="auto" w:sz="4" w:space="0"/>
              <w:bottom w:val="single" w:color="auto" w:sz="4" w:space="0"/>
              <w:right w:val="single" w:color="auto" w:sz="4" w:space="0"/>
            </w:tcBorders>
            <w:vAlign w:val="center"/>
          </w:tcPr>
          <w:p w14:paraId="56A93F75">
            <w:pPr>
              <w:keepNext w:val="0"/>
              <w:keepLines w:val="0"/>
              <w:pageBreakBefore w:val="0"/>
              <w:widowControl/>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投标报价的偏差率计算公式</w:t>
            </w:r>
          </w:p>
        </w:tc>
        <w:tc>
          <w:tcPr>
            <w:tcW w:w="5431" w:type="dxa"/>
            <w:tcBorders>
              <w:top w:val="single" w:color="auto" w:sz="4" w:space="0"/>
              <w:left w:val="single" w:color="auto" w:sz="4" w:space="0"/>
              <w:bottom w:val="single" w:color="auto" w:sz="4" w:space="0"/>
              <w:right w:val="single" w:color="auto" w:sz="4" w:space="0"/>
            </w:tcBorders>
            <w:vAlign w:val="center"/>
          </w:tcPr>
          <w:p w14:paraId="1791CF5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报价偏差率=100% ×（投标报价－评标基准价）÷评标基准价</w:t>
            </w:r>
          </w:p>
          <w:p w14:paraId="1CB0C0A1">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注：计算值保留两位有效小数，第三位小数四舍五入。</w:t>
            </w:r>
          </w:p>
        </w:tc>
      </w:tr>
      <w:tr w14:paraId="20EB2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tcBorders>
              <w:top w:val="single" w:color="auto" w:sz="4" w:space="0"/>
              <w:left w:val="single" w:color="auto" w:sz="4" w:space="0"/>
              <w:bottom w:val="single" w:color="auto" w:sz="4" w:space="0"/>
              <w:right w:val="single" w:color="auto" w:sz="4" w:space="0"/>
            </w:tcBorders>
            <w:vAlign w:val="center"/>
          </w:tcPr>
          <w:p w14:paraId="217A2896">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条款号</w:t>
            </w:r>
          </w:p>
        </w:tc>
        <w:tc>
          <w:tcPr>
            <w:tcW w:w="3332" w:type="dxa"/>
            <w:gridSpan w:val="2"/>
            <w:tcBorders>
              <w:top w:val="single" w:color="auto" w:sz="4" w:space="0"/>
              <w:left w:val="single" w:color="auto" w:sz="4" w:space="0"/>
              <w:bottom w:val="single" w:color="auto" w:sz="4" w:space="0"/>
              <w:right w:val="single" w:color="auto" w:sz="4" w:space="0"/>
            </w:tcBorders>
            <w:vAlign w:val="center"/>
          </w:tcPr>
          <w:p w14:paraId="380DBADE">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评分因素</w:t>
            </w:r>
          </w:p>
        </w:tc>
        <w:tc>
          <w:tcPr>
            <w:tcW w:w="5431" w:type="dxa"/>
            <w:tcBorders>
              <w:top w:val="single" w:color="auto" w:sz="4" w:space="0"/>
              <w:left w:val="single" w:color="auto" w:sz="4" w:space="0"/>
              <w:bottom w:val="single" w:color="auto" w:sz="4" w:space="0"/>
              <w:right w:val="single" w:color="auto" w:sz="4" w:space="0"/>
            </w:tcBorders>
            <w:vAlign w:val="center"/>
          </w:tcPr>
          <w:p w14:paraId="7DFC7582">
            <w:pPr>
              <w:keepNext w:val="0"/>
              <w:keepLines w:val="0"/>
              <w:pageBreakBefore w:val="0"/>
              <w:wordWrap/>
              <w:overflowPunct/>
              <w:topLinePunct w:val="0"/>
              <w:bidi w:val="0"/>
              <w:spacing w:line="360" w:lineRule="auto"/>
              <w:ind w:firstLine="426"/>
              <w:jc w:val="center"/>
              <w:rPr>
                <w:rFonts w:hint="eastAsia" w:ascii="宋体" w:hAnsi="宋体" w:eastAsia="宋体" w:cs="宋体"/>
                <w:bCs/>
                <w:sz w:val="24"/>
                <w:szCs w:val="24"/>
                <w:highlight w:val="none"/>
              </w:rPr>
            </w:pPr>
            <w:r>
              <w:rPr>
                <w:rFonts w:hint="eastAsia" w:ascii="宋体" w:hAnsi="宋体" w:eastAsia="宋体" w:cs="宋体"/>
                <w:b w:val="0"/>
                <w:bCs/>
                <w:kern w:val="0"/>
                <w:sz w:val="24"/>
                <w:szCs w:val="24"/>
                <w:highlight w:val="none"/>
              </w:rPr>
              <w:t>评分标准</w:t>
            </w:r>
          </w:p>
        </w:tc>
      </w:tr>
      <w:tr w14:paraId="5CFE1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restart"/>
            <w:tcBorders>
              <w:top w:val="single" w:color="auto" w:sz="4" w:space="0"/>
              <w:left w:val="single" w:color="auto" w:sz="4" w:space="0"/>
              <w:right w:val="single" w:color="auto" w:sz="4" w:space="0"/>
            </w:tcBorders>
            <w:vAlign w:val="center"/>
          </w:tcPr>
          <w:p w14:paraId="44232D5E">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2.2.4</w:t>
            </w:r>
          </w:p>
          <w:p w14:paraId="36251A1C">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w:t>
            </w:r>
          </w:p>
        </w:tc>
        <w:tc>
          <w:tcPr>
            <w:tcW w:w="1338" w:type="dxa"/>
            <w:vMerge w:val="restart"/>
            <w:tcBorders>
              <w:top w:val="single" w:color="auto" w:sz="4" w:space="0"/>
              <w:left w:val="single" w:color="auto" w:sz="4" w:space="0"/>
              <w:right w:val="single" w:color="auto" w:sz="4" w:space="0"/>
            </w:tcBorders>
            <w:vAlign w:val="center"/>
          </w:tcPr>
          <w:p w14:paraId="6C2FBCC3">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技术部分（10分）</w:t>
            </w:r>
          </w:p>
        </w:tc>
        <w:tc>
          <w:tcPr>
            <w:tcW w:w="1994" w:type="dxa"/>
            <w:tcBorders>
              <w:top w:val="single" w:color="auto" w:sz="4" w:space="0"/>
              <w:left w:val="single" w:color="auto" w:sz="4" w:space="0"/>
              <w:right w:val="single" w:color="auto" w:sz="4" w:space="0"/>
            </w:tcBorders>
            <w:vAlign w:val="center"/>
          </w:tcPr>
          <w:p w14:paraId="6D85E3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 w:val="0"/>
                <w:bCs/>
                <w:color w:val="auto"/>
                <w:spacing w:val="0"/>
                <w:kern w:val="2"/>
                <w:sz w:val="24"/>
                <w:szCs w:val="24"/>
                <w:highlight w:val="none"/>
                <w:lang w:val="en-US" w:eastAsia="zh-CN" w:bidi="ar-SA"/>
              </w:rPr>
              <w:t>对本工程的认识和理解（3分）</w:t>
            </w:r>
          </w:p>
        </w:tc>
        <w:tc>
          <w:tcPr>
            <w:tcW w:w="5431" w:type="dxa"/>
            <w:tcBorders>
              <w:top w:val="single" w:color="auto" w:sz="4" w:space="0"/>
              <w:left w:val="single" w:color="auto" w:sz="4" w:space="0"/>
              <w:bottom w:val="single" w:color="auto" w:sz="4" w:space="0"/>
              <w:right w:val="single" w:color="auto" w:sz="4" w:space="0"/>
            </w:tcBorders>
            <w:vAlign w:val="top"/>
          </w:tcPr>
          <w:p w14:paraId="64C113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由评标委员会根据各投标人提供的本项目认识和理解分析及对策进行横向比较： </w:t>
            </w:r>
          </w:p>
          <w:p w14:paraId="7AD3D9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【优秀】内容合理详细可行的，得 3.0 分； </w:t>
            </w:r>
          </w:p>
          <w:p w14:paraId="0DA8A6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【良好】内容较合理详细可行的，得 2.4 分； </w:t>
            </w:r>
          </w:p>
          <w:p w14:paraId="2674DC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【一般】内容不够齐全、不够详细具体的，得 1.8 分。</w:t>
            </w:r>
          </w:p>
          <w:p w14:paraId="6C1387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highlight w:val="none"/>
              </w:rPr>
            </w:pPr>
            <w:r>
              <w:rPr>
                <w:rFonts w:hint="eastAsia" w:ascii="宋体" w:hAnsi="宋体" w:eastAsia="宋体" w:cs="宋体"/>
                <w:b w:val="0"/>
                <w:bCs/>
                <w:color w:val="auto"/>
                <w:spacing w:val="0"/>
                <w:kern w:val="2"/>
                <w:sz w:val="24"/>
                <w:szCs w:val="24"/>
                <w:highlight w:val="none"/>
                <w:lang w:val="en-US" w:eastAsia="zh-CN" w:bidi="ar-SA"/>
              </w:rPr>
              <w:t>注：本项最高得 3 分，未提供该项描述得 0 分。</w:t>
            </w:r>
          </w:p>
        </w:tc>
      </w:tr>
      <w:tr w14:paraId="4B87A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09FF838C">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058D4A7C">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right w:val="single" w:color="auto" w:sz="4" w:space="0"/>
            </w:tcBorders>
            <w:vAlign w:val="center"/>
          </w:tcPr>
          <w:p w14:paraId="0FFDC6F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color w:val="auto"/>
                <w:spacing w:val="0"/>
                <w:kern w:val="2"/>
                <w:sz w:val="24"/>
                <w:szCs w:val="24"/>
                <w:highlight w:val="none"/>
              </w:rPr>
              <w:t>项目施工重点难点分析及对策</w:t>
            </w:r>
            <w:r>
              <w:rPr>
                <w:rFonts w:hint="eastAsia" w:ascii="宋体" w:hAnsi="宋体" w:eastAsia="宋体" w:cs="宋体"/>
                <w:b w:val="0"/>
                <w:bCs/>
                <w:color w:val="auto"/>
                <w:spacing w:val="0"/>
                <w:kern w:val="2"/>
                <w:sz w:val="24"/>
                <w:szCs w:val="24"/>
                <w:highlight w:val="none"/>
                <w:lang w:val="en-US" w:eastAsia="zh-CN" w:bidi="ar-SA"/>
              </w:rPr>
              <w:t>（3分）</w:t>
            </w:r>
          </w:p>
        </w:tc>
        <w:tc>
          <w:tcPr>
            <w:tcW w:w="5431" w:type="dxa"/>
            <w:tcBorders>
              <w:top w:val="single" w:color="auto" w:sz="4" w:space="0"/>
              <w:left w:val="single" w:color="auto" w:sz="4" w:space="0"/>
              <w:bottom w:val="single" w:color="auto" w:sz="4" w:space="0"/>
              <w:right w:val="single" w:color="auto" w:sz="4" w:space="0"/>
            </w:tcBorders>
            <w:vAlign w:val="center"/>
          </w:tcPr>
          <w:p w14:paraId="5117D40F">
            <w:pPr>
              <w:spacing w:line="360" w:lineRule="auto"/>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由评标委员会根据各投标人提供的项目施工重点难点分析及对策进行评审：</w:t>
            </w:r>
          </w:p>
          <w:p w14:paraId="088859D2">
            <w:pPr>
              <w:spacing w:line="360" w:lineRule="auto"/>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Cs/>
                <w:i w:val="0"/>
                <w:iCs w:val="0"/>
                <w:color w:val="000000"/>
                <w:kern w:val="2"/>
                <w:sz w:val="24"/>
                <w:szCs w:val="24"/>
                <w:highlight w:val="none"/>
                <w:u w:val="none"/>
                <w:lang w:eastAsia="zh-CN"/>
              </w:rPr>
              <w:t>【优秀】对项目施工重点难点分析及对策好的，得</w:t>
            </w:r>
            <w:r>
              <w:rPr>
                <w:rFonts w:hint="eastAsia" w:ascii="宋体" w:hAnsi="宋体" w:eastAsia="宋体" w:cs="宋体"/>
                <w:bCs/>
                <w:i w:val="0"/>
                <w:iCs w:val="0"/>
                <w:color w:val="000000"/>
                <w:kern w:val="2"/>
                <w:sz w:val="24"/>
                <w:szCs w:val="24"/>
                <w:highlight w:val="none"/>
                <w:u w:val="none"/>
                <w:lang w:val="en-US" w:eastAsia="zh-CN"/>
              </w:rPr>
              <w:t>3.0</w:t>
            </w:r>
            <w:r>
              <w:rPr>
                <w:rFonts w:hint="eastAsia" w:ascii="宋体" w:hAnsi="宋体" w:eastAsia="宋体" w:cs="宋体"/>
                <w:bCs/>
                <w:i w:val="0"/>
                <w:iCs w:val="0"/>
                <w:color w:val="000000"/>
                <w:kern w:val="2"/>
                <w:sz w:val="24"/>
                <w:szCs w:val="24"/>
                <w:highlight w:val="none"/>
                <w:u w:val="none"/>
                <w:lang w:eastAsia="zh-CN"/>
              </w:rPr>
              <w:t>分；</w:t>
            </w:r>
          </w:p>
          <w:p w14:paraId="34BFE2BF">
            <w:pPr>
              <w:spacing w:line="360" w:lineRule="auto"/>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Cs/>
                <w:i w:val="0"/>
                <w:iCs w:val="0"/>
                <w:color w:val="000000"/>
                <w:kern w:val="2"/>
                <w:sz w:val="24"/>
                <w:szCs w:val="24"/>
                <w:highlight w:val="none"/>
                <w:u w:val="none"/>
                <w:lang w:eastAsia="zh-CN"/>
              </w:rPr>
              <w:t>【良好】对项目施工重点难点分析及对策较好的，得</w:t>
            </w:r>
            <w:r>
              <w:rPr>
                <w:rFonts w:hint="eastAsia" w:ascii="宋体" w:hAnsi="宋体" w:eastAsia="宋体" w:cs="宋体"/>
                <w:bCs/>
                <w:i w:val="0"/>
                <w:iCs w:val="0"/>
                <w:color w:val="000000"/>
                <w:kern w:val="2"/>
                <w:sz w:val="24"/>
                <w:szCs w:val="24"/>
                <w:highlight w:val="none"/>
                <w:u w:val="none"/>
                <w:lang w:val="en-US" w:eastAsia="zh-CN"/>
              </w:rPr>
              <w:t>2.4</w:t>
            </w:r>
            <w:r>
              <w:rPr>
                <w:rFonts w:hint="eastAsia" w:ascii="宋体" w:hAnsi="宋体" w:eastAsia="宋体" w:cs="宋体"/>
                <w:bCs/>
                <w:i w:val="0"/>
                <w:iCs w:val="0"/>
                <w:color w:val="000000"/>
                <w:kern w:val="2"/>
                <w:sz w:val="24"/>
                <w:szCs w:val="24"/>
                <w:highlight w:val="none"/>
                <w:u w:val="none"/>
                <w:lang w:eastAsia="zh-CN"/>
              </w:rPr>
              <w:t>分；</w:t>
            </w:r>
          </w:p>
          <w:p w14:paraId="364AF6D5">
            <w:pPr>
              <w:spacing w:line="360" w:lineRule="auto"/>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Cs/>
                <w:i w:val="0"/>
                <w:iCs w:val="0"/>
                <w:color w:val="000000"/>
                <w:kern w:val="2"/>
                <w:sz w:val="24"/>
                <w:szCs w:val="24"/>
                <w:highlight w:val="none"/>
                <w:u w:val="none"/>
                <w:lang w:eastAsia="zh-CN"/>
              </w:rPr>
              <w:t>【一般】对项目施工重点难点分析及对策一般的，得</w:t>
            </w:r>
            <w:r>
              <w:rPr>
                <w:rFonts w:hint="eastAsia" w:ascii="宋体" w:hAnsi="宋体" w:eastAsia="宋体" w:cs="宋体"/>
                <w:bCs/>
                <w:i w:val="0"/>
                <w:iCs w:val="0"/>
                <w:color w:val="000000"/>
                <w:kern w:val="2"/>
                <w:sz w:val="24"/>
                <w:szCs w:val="24"/>
                <w:highlight w:val="none"/>
                <w:u w:val="none"/>
                <w:lang w:val="en-US" w:eastAsia="zh-CN"/>
              </w:rPr>
              <w:t xml:space="preserve">1.8 </w:t>
            </w:r>
            <w:r>
              <w:rPr>
                <w:rFonts w:hint="eastAsia" w:ascii="宋体" w:hAnsi="宋体" w:eastAsia="宋体" w:cs="宋体"/>
                <w:bCs/>
                <w:i w:val="0"/>
                <w:iCs w:val="0"/>
                <w:color w:val="000000"/>
                <w:kern w:val="2"/>
                <w:sz w:val="24"/>
                <w:szCs w:val="24"/>
                <w:highlight w:val="none"/>
                <w:u w:val="none"/>
                <w:lang w:eastAsia="zh-CN"/>
              </w:rPr>
              <w:t>分；</w:t>
            </w:r>
          </w:p>
          <w:p w14:paraId="1B380C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highlight w:val="none"/>
              </w:rPr>
            </w:pPr>
            <w:r>
              <w:rPr>
                <w:rFonts w:hint="eastAsia" w:ascii="宋体" w:hAnsi="宋体" w:eastAsia="宋体" w:cs="宋体"/>
                <w:bCs/>
                <w:i w:val="0"/>
                <w:iCs w:val="0"/>
                <w:color w:val="000000"/>
                <w:kern w:val="2"/>
                <w:sz w:val="24"/>
                <w:szCs w:val="24"/>
                <w:highlight w:val="none"/>
                <w:u w:val="none"/>
                <w:lang w:eastAsia="zh-CN"/>
              </w:rPr>
              <w:t xml:space="preserve">注：本项最高得 </w:t>
            </w:r>
            <w:r>
              <w:rPr>
                <w:rFonts w:hint="eastAsia" w:ascii="宋体" w:hAnsi="宋体" w:eastAsia="宋体" w:cs="宋体"/>
                <w:bCs/>
                <w:i w:val="0"/>
                <w:iCs w:val="0"/>
                <w:color w:val="000000"/>
                <w:kern w:val="2"/>
                <w:sz w:val="24"/>
                <w:szCs w:val="24"/>
                <w:highlight w:val="none"/>
                <w:u w:val="none"/>
                <w:lang w:val="en-US" w:eastAsia="zh-CN"/>
              </w:rPr>
              <w:t>3</w:t>
            </w:r>
            <w:r>
              <w:rPr>
                <w:rFonts w:hint="eastAsia" w:ascii="宋体" w:hAnsi="宋体" w:eastAsia="宋体" w:cs="宋体"/>
                <w:bCs/>
                <w:i w:val="0"/>
                <w:iCs w:val="0"/>
                <w:color w:val="000000"/>
                <w:kern w:val="2"/>
                <w:sz w:val="24"/>
                <w:szCs w:val="24"/>
                <w:highlight w:val="none"/>
                <w:u w:val="none"/>
                <w:lang w:eastAsia="zh-CN"/>
              </w:rPr>
              <w:t xml:space="preserve"> 分，未提供该项描述得 0 分。</w:t>
            </w:r>
          </w:p>
        </w:tc>
      </w:tr>
      <w:tr w14:paraId="7D79C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35986790">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4405E6C2">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right w:val="single" w:color="auto" w:sz="4" w:space="0"/>
            </w:tcBorders>
            <w:vAlign w:val="center"/>
          </w:tcPr>
          <w:p w14:paraId="57B1A2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color w:val="auto"/>
                <w:spacing w:val="0"/>
                <w:kern w:val="2"/>
                <w:sz w:val="24"/>
                <w:szCs w:val="24"/>
                <w:highlight w:val="none"/>
              </w:rPr>
            </w:pPr>
            <w:r>
              <w:rPr>
                <w:rFonts w:hint="eastAsia" w:ascii="宋体" w:hAnsi="宋体" w:eastAsia="宋体" w:cs="宋体"/>
                <w:bCs/>
                <w:color w:val="auto"/>
                <w:kern w:val="0"/>
                <w:sz w:val="24"/>
                <w:szCs w:val="24"/>
                <w:highlight w:val="none"/>
              </w:rPr>
              <w:t>总体施工组织布置及场内规划分析(</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center"/>
          </w:tcPr>
          <w:p w14:paraId="77AD8F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由评标委员会根据各投标人提供的项目总体施工组织布置及场内规划分析进行横向比较： </w:t>
            </w:r>
          </w:p>
          <w:p w14:paraId="17C94E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【优秀】内容合理详细可行的，得 2.0 分； </w:t>
            </w:r>
          </w:p>
          <w:p w14:paraId="5AD023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【良好】内容较合理详细可行的，得 1.6分； </w:t>
            </w:r>
          </w:p>
          <w:p w14:paraId="2C3AA3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【一般】内容不够齐全、不够详细具体的，得1.2分。</w:t>
            </w:r>
          </w:p>
          <w:p w14:paraId="66E540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 w:val="0"/>
                <w:bCs/>
                <w:color w:val="auto"/>
                <w:spacing w:val="0"/>
                <w:kern w:val="2"/>
                <w:sz w:val="24"/>
                <w:szCs w:val="24"/>
                <w:highlight w:val="none"/>
                <w:lang w:val="en-US" w:eastAsia="zh-CN" w:bidi="ar-SA"/>
              </w:rPr>
              <w:t>注：本项最高得 2 分，未提供该项描述得 0 分。</w:t>
            </w:r>
          </w:p>
        </w:tc>
      </w:tr>
      <w:tr w14:paraId="08660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6C914DC0">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7419EC28">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right w:val="single" w:color="auto" w:sz="4" w:space="0"/>
            </w:tcBorders>
            <w:vAlign w:val="center"/>
          </w:tcPr>
          <w:p w14:paraId="0AF78F4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color w:val="auto"/>
                <w:spacing w:val="0"/>
                <w:kern w:val="2"/>
                <w:sz w:val="24"/>
                <w:szCs w:val="24"/>
                <w:highlight w:val="none"/>
              </w:rPr>
            </w:pPr>
            <w:r>
              <w:rPr>
                <w:rFonts w:hint="eastAsia" w:ascii="宋体" w:hAnsi="宋体" w:eastAsia="宋体" w:cs="宋体"/>
                <w:bCs/>
                <w:color w:val="auto"/>
                <w:kern w:val="0"/>
                <w:sz w:val="24"/>
                <w:szCs w:val="24"/>
                <w:highlight w:val="none"/>
              </w:rPr>
              <w:t>施工进度分析和计划</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2分</w:t>
            </w:r>
            <w:r>
              <w:rPr>
                <w:rFonts w:hint="eastAsia" w:ascii="宋体" w:hAnsi="宋体" w:eastAsia="宋体" w:cs="宋体"/>
                <w:bCs/>
                <w:color w:val="auto"/>
                <w:kern w:val="0"/>
                <w:sz w:val="24"/>
                <w:szCs w:val="24"/>
                <w:highlight w:val="none"/>
                <w:lang w:eastAsia="zh-CN"/>
              </w:rPr>
              <w:t>）</w:t>
            </w:r>
          </w:p>
        </w:tc>
        <w:tc>
          <w:tcPr>
            <w:tcW w:w="5431" w:type="dxa"/>
            <w:tcBorders>
              <w:top w:val="single" w:color="auto" w:sz="4" w:space="0"/>
              <w:left w:val="single" w:color="auto" w:sz="4" w:space="0"/>
              <w:bottom w:val="single" w:color="auto" w:sz="4" w:space="0"/>
              <w:right w:val="single" w:color="auto" w:sz="4" w:space="0"/>
            </w:tcBorders>
            <w:vAlign w:val="center"/>
          </w:tcPr>
          <w:p w14:paraId="35B591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由评标委员会根据各投标人提供的项目总体</w:t>
            </w:r>
            <w:r>
              <w:rPr>
                <w:rFonts w:hint="eastAsia" w:ascii="宋体" w:hAnsi="宋体" w:eastAsia="宋体" w:cs="宋体"/>
                <w:bCs/>
                <w:color w:val="auto"/>
                <w:kern w:val="0"/>
                <w:sz w:val="24"/>
                <w:szCs w:val="24"/>
                <w:highlight w:val="none"/>
              </w:rPr>
              <w:t>施工进度分析和计划</w:t>
            </w:r>
            <w:r>
              <w:rPr>
                <w:rFonts w:hint="eastAsia" w:ascii="宋体" w:hAnsi="宋体" w:eastAsia="宋体" w:cs="宋体"/>
                <w:b w:val="0"/>
                <w:bCs/>
                <w:color w:val="auto"/>
                <w:spacing w:val="0"/>
                <w:kern w:val="2"/>
                <w:sz w:val="24"/>
                <w:szCs w:val="24"/>
                <w:highlight w:val="none"/>
                <w:lang w:val="en-US" w:eastAsia="zh-CN" w:bidi="ar-SA"/>
              </w:rPr>
              <w:t xml:space="preserve">分析进行横向比较： </w:t>
            </w:r>
          </w:p>
          <w:p w14:paraId="358A8494">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【优秀】对施工进度分析和计划全面，能够对本工程现状情况逐条分析，描述准确，深入、详细、全面的，得 2.0 分； </w:t>
            </w:r>
          </w:p>
          <w:p w14:paraId="000D7CAE">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【良好】对施工进度分析和计划有描述，但欠准确、全面的，得1.6 分； </w:t>
            </w:r>
          </w:p>
          <w:p w14:paraId="1169EFE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【一般】对施工进度分析和计划描述极简单或不准确或不合实际的，得 1.2 分；</w:t>
            </w:r>
          </w:p>
          <w:p w14:paraId="603A9CD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 w:val="0"/>
                <w:bCs/>
                <w:color w:val="auto"/>
                <w:spacing w:val="0"/>
                <w:kern w:val="2"/>
                <w:sz w:val="24"/>
                <w:szCs w:val="24"/>
                <w:highlight w:val="none"/>
                <w:lang w:val="en-US" w:eastAsia="zh-CN" w:bidi="ar-SA"/>
              </w:rPr>
              <w:t>注：本项最高得 2 分，未提供该项描述得 0 分。</w:t>
            </w:r>
          </w:p>
        </w:tc>
      </w:tr>
      <w:tr w14:paraId="3F72A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2791CD97">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36EF69F8">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7425" w:type="dxa"/>
            <w:gridSpan w:val="2"/>
            <w:tcBorders>
              <w:top w:val="single" w:color="auto" w:sz="4" w:space="0"/>
              <w:left w:val="single" w:color="auto" w:sz="4" w:space="0"/>
              <w:right w:val="single" w:color="auto" w:sz="4" w:space="0"/>
            </w:tcBorders>
            <w:vAlign w:val="center"/>
          </w:tcPr>
          <w:p w14:paraId="6A7DA3D9">
            <w:pPr>
              <w:keepNext w:val="0"/>
              <w:keepLines w:val="0"/>
              <w:pageBreakBefore w:val="0"/>
              <w:wordWrap/>
              <w:overflowPunct/>
              <w:topLinePunct w:val="0"/>
              <w:bidi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注：1.各评审因素得分分值的计算按四舍五入法保留两位有效小数。</w:t>
            </w:r>
          </w:p>
          <w:p w14:paraId="40FB2A52">
            <w:pPr>
              <w:keepNext w:val="0"/>
              <w:keepLines w:val="0"/>
              <w:pageBreakBefore w:val="0"/>
              <w:wordWrap/>
              <w:overflowPunct/>
              <w:topLinePunct w:val="0"/>
              <w:bidi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所有评审因素单项分值跨度不超过5分，绿色建材承诺使用类别采取承诺制，提供承诺得满分；其余评审内容可采用合格制或者横向对比或者标准化方式划档评分，划档的档次不得超过三档，各档次得分梯度应当按照等差数列方式进行赋分，每档分差应当为该评审因素总分值的5%～20%。不合格或者未提供评审资料的不得分。</w:t>
            </w:r>
          </w:p>
        </w:tc>
      </w:tr>
      <w:tr w14:paraId="54D24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4" w:hRule="atLeast"/>
          <w:jc w:val="center"/>
        </w:trPr>
        <w:tc>
          <w:tcPr>
            <w:tcW w:w="1124" w:type="dxa"/>
            <w:gridSpan w:val="2"/>
            <w:vMerge w:val="restart"/>
            <w:tcBorders>
              <w:top w:val="single" w:color="auto" w:sz="4" w:space="0"/>
              <w:left w:val="single" w:color="auto" w:sz="4" w:space="0"/>
              <w:right w:val="single" w:color="auto" w:sz="4" w:space="0"/>
            </w:tcBorders>
            <w:vAlign w:val="center"/>
          </w:tcPr>
          <w:p w14:paraId="1EDF1D5E">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2.2.4</w:t>
            </w:r>
          </w:p>
          <w:p w14:paraId="3B6B2392">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w:t>
            </w:r>
          </w:p>
        </w:tc>
        <w:tc>
          <w:tcPr>
            <w:tcW w:w="1338" w:type="dxa"/>
            <w:vMerge w:val="restart"/>
            <w:tcBorders>
              <w:top w:val="single" w:color="auto" w:sz="4" w:space="0"/>
              <w:left w:val="single" w:color="auto" w:sz="4" w:space="0"/>
              <w:right w:val="single" w:color="auto" w:sz="4" w:space="0"/>
            </w:tcBorders>
            <w:vAlign w:val="center"/>
          </w:tcPr>
          <w:p w14:paraId="2B7C999E">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资信部分</w:t>
            </w:r>
          </w:p>
          <w:p w14:paraId="26EFB1C5">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20</w:t>
            </w:r>
            <w:r>
              <w:rPr>
                <w:rFonts w:hint="eastAsia" w:ascii="宋体" w:hAnsi="宋体" w:eastAsia="宋体" w:cs="宋体"/>
                <w:b w:val="0"/>
                <w:bCs/>
                <w:kern w:val="0"/>
                <w:sz w:val="24"/>
                <w:szCs w:val="24"/>
                <w:highlight w:val="none"/>
              </w:rPr>
              <w:t>分）</w:t>
            </w:r>
          </w:p>
        </w:tc>
        <w:tc>
          <w:tcPr>
            <w:tcW w:w="1994" w:type="dxa"/>
            <w:tcBorders>
              <w:top w:val="single" w:color="auto" w:sz="4" w:space="0"/>
              <w:left w:val="single" w:color="auto" w:sz="4" w:space="0"/>
              <w:right w:val="single" w:color="auto" w:sz="4" w:space="0"/>
            </w:tcBorders>
            <w:vAlign w:val="center"/>
          </w:tcPr>
          <w:p w14:paraId="08712DD8">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p>
          <w:p w14:paraId="066DB973">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类似项目业绩</w:t>
            </w:r>
          </w:p>
          <w:p w14:paraId="3A5790E0">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center"/>
          </w:tcPr>
          <w:p w14:paraId="671E9B7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投标人在近 3 年内（自本招标项目招标公告发出之日起往前顺推，以□合同签订时间为准/☑竣工验收证明材料/竣工验收备案表/建设单位出具的完工证明载明的时间为准）完成过工程造价为</w:t>
            </w:r>
            <w:r>
              <w:rPr>
                <w:rFonts w:hint="eastAsia" w:ascii="宋体" w:hAnsi="宋体" w:eastAsia="宋体" w:cs="宋体"/>
                <w:bCs/>
                <w:sz w:val="24"/>
                <w:szCs w:val="24"/>
                <w:highlight w:val="none"/>
                <w:lang w:eastAsia="zh-CN"/>
              </w:rPr>
              <w:t>120万元或以上的建筑工程施工业绩</w:t>
            </w:r>
            <w:r>
              <w:rPr>
                <w:rFonts w:hint="eastAsia" w:ascii="宋体" w:hAnsi="宋体" w:eastAsia="宋体" w:cs="宋体"/>
                <w:bCs/>
                <w:sz w:val="24"/>
                <w:szCs w:val="24"/>
                <w:highlight w:val="none"/>
              </w:rPr>
              <w:t>，每个得 1.5 分，最高得 3 分。</w:t>
            </w:r>
          </w:p>
          <w:p w14:paraId="644715E1">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注：1.小型、中型工程仅能设置1个量化指标，分值不超过3分；大型工程或者招标控制价1亿元以上的工程量化指标不得超过2个，分值不超过5分。</w:t>
            </w:r>
          </w:p>
          <w:p w14:paraId="11D14BB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2.考察时间为最近3年，公路水运、城市轨道交通、民航、水利、电力工程以及施工工期超过3年的其他工程可以放宽至5年。</w:t>
            </w:r>
          </w:p>
          <w:p w14:paraId="26C24B6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量化指标只能从工程造价、高度、长度、净宽、直径、建筑面积、库容、跨度、里程长度、等级、装机容量、流量、处理量、结构形式中选择，且不超过招标项目量化指标规模的80%（等级、结构形式除外），满分标准不超过3个。</w:t>
            </w:r>
          </w:p>
          <w:p w14:paraId="639D7FB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4.项目类别按照《注册建造师执业工程规模标准》中的工程类别划分执行。</w:t>
            </w:r>
          </w:p>
          <w:p w14:paraId="7719F823">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相关证明材料仅限于要求提供中标通知书、合同协议书、竣工验收证明材料/竣工验收备案表/建设单位出具的完工证明，如前述证明材料不能清晰反映有关特征和必要信息的，还需提供该项目工程业绩的业主证明材料并须附有业主方的联系人及联系电话。</w:t>
            </w:r>
          </w:p>
          <w:p w14:paraId="641437F1">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6.提供类似项目业绩为联合体形式承接的，联合体协议中约定的投标人承接的工作量应满足类似项目业绩要求。</w:t>
            </w:r>
          </w:p>
        </w:tc>
      </w:tr>
      <w:tr w14:paraId="09F6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237D2426">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4ACEC524">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448B270">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获奖情况</w:t>
            </w:r>
          </w:p>
          <w:p w14:paraId="4AF38BC8">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top"/>
          </w:tcPr>
          <w:p w14:paraId="288050B9">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投标人在近 3 年内（自本招标项目招标公告发出之日起往前顺推，以获奖证明材料载明的时间为准）承接的</w:t>
            </w:r>
            <w:r>
              <w:rPr>
                <w:rFonts w:hint="eastAsia" w:ascii="宋体" w:hAnsi="宋体" w:eastAsia="宋体" w:cs="宋体"/>
                <w:bCs/>
                <w:sz w:val="24"/>
                <w:szCs w:val="24"/>
                <w:highlight w:val="none"/>
                <w:lang w:val="en-US" w:eastAsia="zh-CN"/>
              </w:rPr>
              <w:t>建筑</w:t>
            </w:r>
            <w:r>
              <w:rPr>
                <w:rFonts w:hint="eastAsia" w:ascii="宋体" w:hAnsi="宋体" w:eastAsia="宋体" w:cs="宋体"/>
                <w:bCs/>
                <w:sz w:val="24"/>
                <w:szCs w:val="24"/>
                <w:highlight w:val="none"/>
                <w:lang w:eastAsia="zh-CN"/>
              </w:rPr>
              <w:t>工程项目施工：</w:t>
            </w:r>
          </w:p>
          <w:p w14:paraId="32CA4F1E">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□大型工程：获得过国家级质量类奖项的，每个得   分，</w:t>
            </w:r>
          </w:p>
          <w:p w14:paraId="3CDA2106">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获得过省级质量类奖项的，每个得   分，最高得   分。</w:t>
            </w:r>
          </w:p>
          <w:p w14:paraId="5912B472">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□中型工程：获得过省级（或以上）质量类奖项的，每个得   分，获得过市级质量类奖项的，每个得   分，最高得   分。</w:t>
            </w:r>
          </w:p>
          <w:p w14:paraId="08ED0CD3">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☑小型工程：获得过市级（或以上）质量类奖项的，得 3 分。</w:t>
            </w:r>
          </w:p>
          <w:p w14:paraId="01A954F3">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注：（1）大型工程的分值不超过5分，中型、小型工程的分值不超过3分，大型工程仅可以设置国家级、省级奖项，其中国家级不超过3个，省级不超过9个，单独提交国家级或者省级奖项均能得满分；中型工程仅可以设置省级、市级奖项，省级不超过1个，市级不超过3个，单独提交省级或者市级奖项均能得满分，国家级与省级奖项同分；小型工程仅可以设置市级奖项，1个市级奖项即得满分，国家级奖项、省级、市级奖项同分。</w:t>
            </w:r>
          </w:p>
          <w:p w14:paraId="665ABDAF">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（2）考察时间为最近3年，公路水运、城市轨道交通、民航、水利、电力工程以及施工工期超过3年的其他工程的获奖情况考察时间可以放宽至5年。</w:t>
            </w:r>
          </w:p>
          <w:p w14:paraId="0052D6DC">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（3）获奖情况应当依据国家、省、市级的人民政府或者行业主管部门或者经民政部门批准成立的相关行业协会（学会）颁发的获奖证书或获奖正式文件确认。同一工程的获奖，评审应以当就高计分为原则。</w:t>
            </w:r>
          </w:p>
          <w:p w14:paraId="267C12CA">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（4）项目类别按照《注册建造师执业工程规模标准》中的工程类别划分执行。</w:t>
            </w:r>
          </w:p>
        </w:tc>
      </w:tr>
      <w:tr w14:paraId="2B59E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20CC2EA2">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29F1CC4F">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AD294DF">
            <w:pPr>
              <w:widowControl/>
              <w:spacing w:line="360" w:lineRule="auto"/>
              <w:jc w:val="center"/>
              <w:rPr>
                <w:rFonts w:hint="eastAsia" w:ascii="宋体" w:hAnsi="宋体" w:eastAsia="宋体" w:cs="宋体"/>
                <w:bCs/>
                <w:color w:val="0000FF"/>
                <w:sz w:val="24"/>
                <w:szCs w:val="24"/>
                <w:highlight w:val="none"/>
              </w:rPr>
            </w:pPr>
            <w:r>
              <w:rPr>
                <w:rFonts w:hint="eastAsia" w:ascii="宋体" w:hAnsi="宋体" w:eastAsia="宋体" w:cs="宋体"/>
                <w:bCs/>
                <w:color w:val="auto"/>
                <w:kern w:val="2"/>
                <w:sz w:val="24"/>
                <w:szCs w:val="24"/>
                <w:highlight w:val="none"/>
              </w:rPr>
              <w:t>诚信状况（</w:t>
            </w: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top"/>
          </w:tcPr>
          <w:p w14:paraId="12FEFA78">
            <w:pPr>
              <w:pStyle w:val="55"/>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kern w:val="2"/>
                <w:highlight w:val="none"/>
              </w:rPr>
            </w:pPr>
            <w:r>
              <w:rPr>
                <w:rFonts w:hint="eastAsia" w:ascii="宋体" w:hAnsi="宋体" w:eastAsia="宋体" w:cs="宋体"/>
                <w:b w:val="0"/>
                <w:bCs/>
                <w:i w:val="0"/>
                <w:iCs w:val="0"/>
                <w:spacing w:val="0"/>
                <w:w w:val="100"/>
                <w:kern w:val="2"/>
                <w:sz w:val="24"/>
                <w:szCs w:val="24"/>
                <w:highlight w:val="none"/>
                <w:vertAlign w:val="baseline"/>
                <w:lang w:eastAsia="zh-CN"/>
              </w:rPr>
              <w:t>☑</w:t>
            </w:r>
            <w:r>
              <w:rPr>
                <w:rFonts w:hint="eastAsia" w:ascii="宋体" w:hAnsi="宋体" w:eastAsia="宋体" w:cs="宋体"/>
                <w:b w:val="0"/>
                <w:bCs/>
                <w:i w:val="0"/>
                <w:iCs w:val="0"/>
                <w:spacing w:val="0"/>
                <w:w w:val="100"/>
                <w:kern w:val="2"/>
                <w:sz w:val="24"/>
                <w:szCs w:val="24"/>
                <w:highlight w:val="none"/>
                <w:vertAlign w:val="baseline"/>
              </w:rPr>
              <w:t>采用信用等级评审：按招标项目进入资信标评审区间有效投标人的等级高低划分档次，最高级为第一档，次高级为第二档，以此类推分为四档，每档分差为</w:t>
            </w:r>
            <w:r>
              <w:rPr>
                <w:rFonts w:hint="eastAsia" w:ascii="宋体" w:hAnsi="宋体" w:eastAsia="宋体" w:cs="宋体"/>
                <w:b w:val="0"/>
                <w:bCs/>
                <w:i w:val="0"/>
                <w:iCs w:val="0"/>
                <w:spacing w:val="0"/>
                <w:w w:val="100"/>
                <w:kern w:val="2"/>
                <w:sz w:val="24"/>
                <w:szCs w:val="24"/>
                <w:highlight w:val="none"/>
                <w:u w:val="none"/>
                <w:vertAlign w:val="baseline"/>
              </w:rPr>
              <w:t xml:space="preserve"> </w:t>
            </w:r>
            <w:r>
              <w:rPr>
                <w:rFonts w:hint="eastAsia" w:ascii="宋体" w:hAnsi="宋体" w:eastAsia="宋体" w:cs="宋体"/>
                <w:b w:val="0"/>
                <w:bCs/>
                <w:i w:val="0"/>
                <w:iCs w:val="0"/>
                <w:spacing w:val="0"/>
                <w:w w:val="100"/>
                <w:kern w:val="2"/>
                <w:sz w:val="24"/>
                <w:szCs w:val="24"/>
                <w:highlight w:val="none"/>
                <w:vertAlign w:val="baseline"/>
              </w:rPr>
              <w:t>分（1～3分）。</w:t>
            </w:r>
          </w:p>
          <w:p w14:paraId="4F3842E9">
            <w:pPr>
              <w:pStyle w:val="55"/>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kern w:val="2"/>
                <w:highlight w:val="none"/>
              </w:rPr>
            </w:pPr>
            <w:r>
              <w:rPr>
                <w:rFonts w:hint="eastAsia" w:ascii="宋体" w:hAnsi="宋体" w:eastAsia="宋体" w:cs="宋体"/>
                <w:b w:val="0"/>
                <w:bCs/>
                <w:i w:val="0"/>
                <w:iCs w:val="0"/>
                <w:spacing w:val="0"/>
                <w:w w:val="100"/>
                <w:kern w:val="2"/>
                <w:sz w:val="24"/>
                <w:szCs w:val="24"/>
                <w:highlight w:val="none"/>
                <w:vertAlign w:val="baseline"/>
              </w:rPr>
              <w:t>□采用动态信用得分评审：按招标项目进入资信标评审区间有效投标人的动态信用得分高低先进行排名，再按排名名次划分档次（动态信用得分相同的排名名次相同，并（占用/不占用）后续不同得分的排名名次）。动态信用得分排名名次前25%（含25%）的投标人为第一档，25%～50%（含50%）的为第二档，50%～75%（含75%）的为第三档，75%～100%的为第四档，计算结果四舍五入取整，每档分差为</w:t>
            </w:r>
            <w:r>
              <w:rPr>
                <w:rFonts w:hint="eastAsia" w:ascii="宋体" w:hAnsi="宋体" w:eastAsia="宋体" w:cs="宋体"/>
                <w:b w:val="0"/>
                <w:bCs/>
                <w:i w:val="0"/>
                <w:iCs w:val="0"/>
                <w:spacing w:val="0"/>
                <w:w w:val="100"/>
                <w:kern w:val="2"/>
                <w:sz w:val="24"/>
                <w:szCs w:val="24"/>
                <w:highlight w:val="none"/>
                <w:u w:val="none"/>
                <w:vertAlign w:val="baseline"/>
              </w:rPr>
              <w:t xml:space="preserve"> </w:t>
            </w:r>
            <w:r>
              <w:rPr>
                <w:rFonts w:hint="eastAsia" w:ascii="宋体" w:hAnsi="宋体" w:eastAsia="宋体" w:cs="宋体"/>
                <w:b w:val="0"/>
                <w:bCs/>
                <w:i w:val="0"/>
                <w:iCs w:val="0"/>
                <w:spacing w:val="0"/>
                <w:w w:val="100"/>
                <w:kern w:val="2"/>
                <w:sz w:val="24"/>
                <w:szCs w:val="24"/>
                <w:highlight w:val="none"/>
                <w:vertAlign w:val="baseline"/>
              </w:rPr>
              <w:t>分（1～3分）。</w:t>
            </w:r>
          </w:p>
          <w:p w14:paraId="38A5EC80">
            <w:pPr>
              <w:pStyle w:val="55"/>
              <w:widowControl/>
              <w:spacing w:line="320" w:lineRule="exact"/>
              <w:rPr>
                <w:rFonts w:hint="eastAsia" w:ascii="宋体" w:hAnsi="宋体" w:eastAsia="宋体" w:cs="宋体"/>
                <w:bCs/>
                <w:color w:val="0000FF"/>
                <w:sz w:val="24"/>
                <w:szCs w:val="24"/>
                <w:highlight w:val="none"/>
              </w:rPr>
            </w:pPr>
            <w:r>
              <w:rPr>
                <w:rFonts w:hint="eastAsia" w:ascii="宋体" w:hAnsi="宋体" w:eastAsia="宋体" w:cs="宋体"/>
                <w:b w:val="0"/>
                <w:bCs/>
                <w:i w:val="0"/>
                <w:iCs w:val="0"/>
                <w:spacing w:val="0"/>
                <w:w w:val="100"/>
                <w:kern w:val="2"/>
                <w:sz w:val="24"/>
                <w:szCs w:val="24"/>
                <w:highlight w:val="none"/>
                <w:vertAlign w:val="baseline"/>
              </w:rPr>
              <w:t>注：以开标当天在招标项目行业主管部门诚信管理系统查询到的信用等级或者动态信用得分为准；联合体形式参与投标的，以联合体牵头单位的诚信状况为准。</w:t>
            </w:r>
          </w:p>
        </w:tc>
      </w:tr>
      <w:tr w14:paraId="44F11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6B7D8727">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restart"/>
            <w:tcBorders>
              <w:left w:val="single" w:color="auto" w:sz="4" w:space="0"/>
              <w:right w:val="single" w:color="auto" w:sz="4" w:space="0"/>
            </w:tcBorders>
            <w:vAlign w:val="center"/>
          </w:tcPr>
          <w:p w14:paraId="3C0ADE70">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000000" w:sz="4" w:space="0"/>
              <w:bottom w:val="single" w:color="auto" w:sz="4" w:space="0"/>
              <w:right w:val="single" w:color="auto" w:sz="4" w:space="0"/>
            </w:tcBorders>
            <w:vAlign w:val="center"/>
          </w:tcPr>
          <w:p w14:paraId="2538E3BE">
            <w:pPr>
              <w:widowControl/>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rPr>
              <w:t>项目管理团队配备情况（</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6592CA57">
            <w:pPr>
              <w:spacing w:line="360" w:lineRule="auto"/>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1.投标人拟派项目负责人：</w:t>
            </w:r>
          </w:p>
          <w:p w14:paraId="429715D0">
            <w:pPr>
              <w:spacing w:line="360" w:lineRule="auto"/>
              <w:rPr>
                <w:rFonts w:hint="eastAsia" w:ascii="宋体" w:hAnsi="宋体" w:eastAsia="宋体" w:cs="宋体"/>
                <w:bCs/>
                <w:color w:val="auto"/>
                <w:kern w:val="2"/>
                <w:sz w:val="24"/>
                <w:szCs w:val="24"/>
                <w:highlight w:val="none"/>
                <w:shd w:val="clear" w:color="auto" w:fill="auto"/>
                <w:lang w:eastAsia="zh-CN"/>
              </w:rPr>
            </w:pPr>
            <w:r>
              <w:rPr>
                <w:rFonts w:hint="eastAsia" w:ascii="宋体" w:hAnsi="宋体" w:eastAsia="宋体" w:cs="宋体"/>
                <w:bCs/>
                <w:color w:val="auto"/>
                <w:kern w:val="2"/>
                <w:sz w:val="24"/>
                <w:szCs w:val="24"/>
                <w:highlight w:val="none"/>
                <w:shd w:val="clear" w:color="auto" w:fill="auto"/>
                <w:lang w:eastAsia="zh-CN"/>
              </w:rPr>
              <w:t>（</w:t>
            </w:r>
            <w:r>
              <w:rPr>
                <w:rFonts w:hint="eastAsia" w:ascii="宋体" w:hAnsi="宋体" w:eastAsia="宋体" w:cs="宋体"/>
                <w:bCs/>
                <w:color w:val="auto"/>
                <w:kern w:val="2"/>
                <w:sz w:val="24"/>
                <w:szCs w:val="24"/>
                <w:highlight w:val="none"/>
                <w:shd w:val="clear" w:color="auto" w:fill="auto"/>
                <w:lang w:val="en-US" w:eastAsia="zh-CN"/>
              </w:rPr>
              <w:t>1</w:t>
            </w:r>
            <w:r>
              <w:rPr>
                <w:rFonts w:hint="eastAsia" w:ascii="宋体" w:hAnsi="宋体" w:eastAsia="宋体" w:cs="宋体"/>
                <w:bCs/>
                <w:color w:val="auto"/>
                <w:kern w:val="2"/>
                <w:sz w:val="24"/>
                <w:szCs w:val="24"/>
                <w:highlight w:val="none"/>
                <w:shd w:val="clear" w:color="auto" w:fill="auto"/>
                <w:lang w:eastAsia="zh-CN"/>
              </w:rPr>
              <w:t>）</w:t>
            </w:r>
            <w:r>
              <w:rPr>
                <w:rFonts w:hint="eastAsia" w:ascii="宋体" w:hAnsi="宋体" w:eastAsia="宋体" w:cs="宋体"/>
                <w:bCs/>
                <w:color w:val="auto"/>
                <w:sz w:val="24"/>
                <w:szCs w:val="24"/>
                <w:highlight w:val="none"/>
              </w:rPr>
              <w:t>技术职称</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none"/>
                <w:shd w:val="clear" w:color="auto" w:fill="auto"/>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：具有</w:t>
            </w:r>
            <w:r>
              <w:rPr>
                <w:rFonts w:hint="eastAsia" w:ascii="宋体" w:hAnsi="宋体" w:eastAsia="宋体" w:cs="宋体"/>
                <w:bCs/>
                <w:color w:val="auto"/>
                <w:sz w:val="24"/>
                <w:szCs w:val="24"/>
                <w:highlight w:val="none"/>
                <w:u w:val="none"/>
                <w:lang w:val="en-US" w:eastAsia="zh-CN"/>
              </w:rPr>
              <w:t>工程相关</w:t>
            </w:r>
            <w:r>
              <w:rPr>
                <w:rFonts w:hint="eastAsia" w:ascii="宋体" w:hAnsi="宋体" w:eastAsia="宋体" w:cs="宋体"/>
                <w:bCs/>
                <w:color w:val="auto"/>
                <w:sz w:val="24"/>
                <w:szCs w:val="24"/>
                <w:highlight w:val="none"/>
                <w:lang w:val="en-US" w:eastAsia="zh-CN"/>
              </w:rPr>
              <w:t>专业</w:t>
            </w:r>
            <w:r>
              <w:rPr>
                <w:rFonts w:hint="eastAsia" w:ascii="宋体" w:hAnsi="宋体" w:eastAsia="宋体" w:cs="宋体"/>
                <w:bCs/>
                <w:color w:val="auto"/>
                <w:sz w:val="24"/>
                <w:szCs w:val="24"/>
                <w:highlight w:val="none"/>
              </w:rPr>
              <w:t>中级职称的得</w:t>
            </w:r>
            <w:r>
              <w:rPr>
                <w:rFonts w:hint="eastAsia" w:ascii="宋体" w:hAnsi="宋体" w:eastAsia="宋体" w:cs="宋体"/>
                <w:bCs/>
                <w:color w:val="auto"/>
                <w:sz w:val="24"/>
                <w:szCs w:val="24"/>
                <w:highlight w:val="none"/>
                <w:u w:val="single"/>
                <w:shd w:val="clear" w:color="auto" w:fill="auto"/>
                <w:lang w:val="en-US" w:eastAsia="zh-CN"/>
              </w:rPr>
              <w:t>1</w:t>
            </w:r>
            <w:r>
              <w:rPr>
                <w:rFonts w:hint="eastAsia" w:ascii="宋体" w:hAnsi="宋体" w:eastAsia="宋体" w:cs="宋体"/>
                <w:bCs/>
                <w:color w:val="auto"/>
                <w:sz w:val="24"/>
                <w:szCs w:val="24"/>
                <w:highlight w:val="none"/>
              </w:rPr>
              <w:t>分，具有高级（或以上）职称的得</w:t>
            </w:r>
            <w:r>
              <w:rPr>
                <w:rFonts w:hint="eastAsia" w:ascii="宋体" w:hAnsi="宋体" w:eastAsia="宋体" w:cs="宋体"/>
                <w:bCs/>
                <w:color w:val="auto"/>
                <w:sz w:val="24"/>
                <w:szCs w:val="24"/>
                <w:highlight w:val="none"/>
                <w:u w:val="single"/>
                <w:shd w:val="clear" w:color="auto" w:fill="auto"/>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p>
          <w:p w14:paraId="2C5A446A">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注：</w:t>
            </w:r>
            <w:r>
              <w:rPr>
                <w:rFonts w:hint="eastAsia" w:ascii="宋体" w:hAnsi="宋体" w:eastAsia="宋体" w:cs="宋体"/>
                <w:bCs/>
                <w:color w:val="auto"/>
                <w:kern w:val="2"/>
                <w:sz w:val="24"/>
                <w:szCs w:val="24"/>
                <w:highlight w:val="none"/>
                <w:lang w:val="en-US" w:eastAsia="zh-CN"/>
              </w:rPr>
              <w:t>①项目负责人的分值不超过5分，量化指标包括类似项目业绩、获奖情况、技术职称，量化指标单项分值不超过2分；其他管理人员的分值为5～10分，量化指标包括技术职称、执业资格，量化指标单项分值不超过5分，人员岗位类型可以设置2～5类，每个岗位类别的人员数量不得超过2个。</w:t>
            </w:r>
          </w:p>
          <w:p w14:paraId="4FBB0E50">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②</w:t>
            </w:r>
            <w:r>
              <w:rPr>
                <w:rFonts w:hint="eastAsia" w:ascii="宋体" w:hAnsi="宋体" w:eastAsia="宋体" w:cs="宋体"/>
                <w:bCs/>
                <w:color w:val="auto"/>
                <w:kern w:val="2"/>
                <w:sz w:val="24"/>
                <w:szCs w:val="24"/>
                <w:highlight w:val="none"/>
              </w:rPr>
              <w:t>设置多个量化指标时，</w:t>
            </w:r>
            <w:r>
              <w:rPr>
                <w:rFonts w:hint="eastAsia" w:ascii="宋体" w:hAnsi="宋体" w:eastAsia="宋体" w:cs="宋体"/>
                <w:bCs/>
                <w:color w:val="auto"/>
                <w:kern w:val="2"/>
                <w:sz w:val="24"/>
                <w:szCs w:val="24"/>
                <w:highlight w:val="none"/>
                <w:lang w:val="en-US" w:eastAsia="zh-CN"/>
              </w:rPr>
              <w:t>应当分别对多个量化指标进行评审计分。</w:t>
            </w:r>
          </w:p>
          <w:p w14:paraId="2789291D">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③类似项目业绩的分值不超过2分，小</w:t>
            </w:r>
            <w:r>
              <w:rPr>
                <w:rFonts w:hint="eastAsia" w:ascii="宋体" w:hAnsi="宋体" w:eastAsia="宋体" w:cs="宋体"/>
                <w:bCs/>
                <w:color w:val="auto"/>
                <w:kern w:val="2"/>
                <w:sz w:val="24"/>
                <w:szCs w:val="24"/>
                <w:highlight w:val="none"/>
              </w:rPr>
              <w:t>型、</w:t>
            </w:r>
            <w:r>
              <w:rPr>
                <w:rFonts w:hint="eastAsia" w:ascii="宋体" w:hAnsi="宋体" w:eastAsia="宋体" w:cs="宋体"/>
                <w:bCs/>
                <w:color w:val="auto"/>
                <w:kern w:val="2"/>
                <w:sz w:val="24"/>
                <w:szCs w:val="24"/>
                <w:highlight w:val="none"/>
                <w:lang w:val="en-US" w:eastAsia="zh-CN"/>
              </w:rPr>
              <w:t>中</w:t>
            </w:r>
            <w:r>
              <w:rPr>
                <w:rFonts w:hint="eastAsia" w:ascii="宋体" w:hAnsi="宋体" w:eastAsia="宋体" w:cs="宋体"/>
                <w:bCs/>
                <w:color w:val="auto"/>
                <w:kern w:val="2"/>
                <w:sz w:val="24"/>
                <w:szCs w:val="24"/>
                <w:highlight w:val="none"/>
              </w:rPr>
              <w:t>型工程</w:t>
            </w:r>
            <w:r>
              <w:rPr>
                <w:rFonts w:hint="eastAsia" w:ascii="宋体" w:hAnsi="宋体" w:eastAsia="宋体" w:cs="宋体"/>
                <w:bCs/>
                <w:color w:val="auto"/>
                <w:kern w:val="2"/>
                <w:sz w:val="24"/>
                <w:szCs w:val="24"/>
                <w:highlight w:val="none"/>
                <w:lang w:val="en-US" w:eastAsia="zh-CN"/>
              </w:rPr>
              <w:t>的</w:t>
            </w:r>
            <w:r>
              <w:rPr>
                <w:rFonts w:hint="eastAsia" w:ascii="宋体" w:hAnsi="宋体" w:eastAsia="宋体" w:cs="宋体"/>
                <w:bCs/>
                <w:color w:val="auto"/>
                <w:kern w:val="2"/>
                <w:sz w:val="24"/>
                <w:szCs w:val="24"/>
                <w:highlight w:val="none"/>
              </w:rPr>
              <w:t>量化指标仅能设置1个</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大型工程或者招标控制价1亿元以上的工程</w:t>
            </w:r>
            <w:r>
              <w:rPr>
                <w:rFonts w:hint="eastAsia" w:ascii="宋体" w:hAnsi="宋体" w:eastAsia="宋体" w:cs="宋体"/>
                <w:bCs/>
                <w:color w:val="auto"/>
                <w:kern w:val="2"/>
                <w:sz w:val="24"/>
                <w:szCs w:val="24"/>
                <w:highlight w:val="none"/>
                <w:lang w:val="en-US" w:eastAsia="zh-CN"/>
              </w:rPr>
              <w:t>的</w:t>
            </w:r>
            <w:r>
              <w:rPr>
                <w:rFonts w:hint="eastAsia" w:ascii="宋体" w:hAnsi="宋体" w:eastAsia="宋体" w:cs="宋体"/>
                <w:bCs/>
                <w:color w:val="auto"/>
                <w:kern w:val="2"/>
                <w:sz w:val="24"/>
                <w:szCs w:val="24"/>
                <w:highlight w:val="none"/>
              </w:rPr>
              <w:t>量化指标不得超过2个</w:t>
            </w:r>
            <w:r>
              <w:rPr>
                <w:rFonts w:hint="eastAsia" w:ascii="宋体" w:hAnsi="宋体" w:eastAsia="宋体" w:cs="宋体"/>
                <w:bCs/>
                <w:color w:val="auto"/>
                <w:kern w:val="2"/>
                <w:sz w:val="24"/>
                <w:szCs w:val="24"/>
                <w:highlight w:val="none"/>
                <w:lang w:eastAsia="zh-CN"/>
              </w:rPr>
              <w:t>。</w:t>
            </w:r>
          </w:p>
          <w:p w14:paraId="17D4D1DA">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④类似项目业绩的量化指标只能从工程造价、高度、长度、净宽、直径、建筑面积、库容、跨度、里程长度、等级、装机容量、流量、处理量、结构形式中选择，且不超过招标项目量化指标规模的80%（等级、结构形式除外）</w:t>
            </w:r>
            <w:r>
              <w:rPr>
                <w:rFonts w:hint="eastAsia" w:ascii="宋体" w:hAnsi="宋体" w:eastAsia="宋体" w:cs="宋体"/>
                <w:bCs/>
                <w:color w:val="auto"/>
                <w:kern w:val="2"/>
                <w:sz w:val="24"/>
                <w:szCs w:val="24"/>
                <w:highlight w:val="none"/>
              </w:rPr>
              <w:t>，满分标准</w:t>
            </w:r>
            <w:r>
              <w:rPr>
                <w:rFonts w:hint="eastAsia" w:ascii="宋体" w:hAnsi="宋体" w:eastAsia="宋体" w:cs="宋体"/>
                <w:bCs/>
                <w:color w:val="auto"/>
                <w:kern w:val="2"/>
                <w:sz w:val="24"/>
                <w:szCs w:val="24"/>
                <w:highlight w:val="none"/>
                <w:lang w:val="en-US" w:eastAsia="zh-CN"/>
              </w:rPr>
              <w:t>为1</w:t>
            </w:r>
            <w:r>
              <w:rPr>
                <w:rFonts w:hint="eastAsia" w:ascii="宋体" w:hAnsi="宋体" w:eastAsia="宋体" w:cs="宋体"/>
                <w:bCs/>
                <w:color w:val="auto"/>
                <w:kern w:val="2"/>
                <w:sz w:val="24"/>
                <w:szCs w:val="24"/>
                <w:highlight w:val="none"/>
              </w:rPr>
              <w:t>个</w:t>
            </w:r>
            <w:r>
              <w:rPr>
                <w:rFonts w:hint="eastAsia" w:ascii="宋体" w:hAnsi="宋体" w:eastAsia="宋体" w:cs="宋体"/>
                <w:bCs/>
                <w:color w:val="auto"/>
                <w:kern w:val="2"/>
                <w:sz w:val="24"/>
                <w:szCs w:val="24"/>
                <w:highlight w:val="none"/>
                <w:lang w:val="en-US" w:eastAsia="zh-CN"/>
              </w:rPr>
              <w:t>。</w:t>
            </w:r>
          </w:p>
          <w:p w14:paraId="606DD5FA">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⑤</w:t>
            </w:r>
            <w:r>
              <w:rPr>
                <w:rFonts w:hint="eastAsia" w:ascii="宋体" w:hAnsi="宋体" w:eastAsia="宋体" w:cs="宋体"/>
                <w:b w:val="0"/>
                <w:bCs/>
                <w:color w:val="auto"/>
                <w:kern w:val="2"/>
                <w:sz w:val="24"/>
                <w:szCs w:val="24"/>
                <w:highlight w:val="none"/>
                <w:lang w:val="en-US" w:eastAsia="zh-CN"/>
              </w:rPr>
              <w:t>项目类别按照《注册建造师执业工程规模标准》中的工程类别划分执行。</w:t>
            </w:r>
          </w:p>
          <w:p w14:paraId="0105C538">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⑥</w:t>
            </w:r>
            <w:r>
              <w:rPr>
                <w:rFonts w:hint="eastAsia" w:ascii="宋体" w:hAnsi="宋体" w:eastAsia="宋体" w:cs="宋体"/>
                <w:bCs/>
                <w:color w:val="auto"/>
                <w:kern w:val="2"/>
                <w:sz w:val="24"/>
                <w:szCs w:val="24"/>
                <w:highlight w:val="none"/>
                <w:lang w:val="en-US" w:eastAsia="zh-CN"/>
              </w:rPr>
              <w:t>类似项目业绩的相关证明材料仅限于要求提供</w:t>
            </w:r>
            <w:r>
              <w:rPr>
                <w:rFonts w:hint="eastAsia" w:ascii="宋体" w:hAnsi="宋体" w:eastAsia="宋体" w:cs="宋体"/>
                <w:bCs/>
                <w:color w:val="auto"/>
                <w:kern w:val="2"/>
                <w:sz w:val="24"/>
                <w:szCs w:val="24"/>
                <w:highlight w:val="none"/>
                <w:u w:val="single"/>
                <w:lang w:val="en-US" w:eastAsia="zh-CN"/>
              </w:rPr>
              <w:t>中标通知书、合同协议书、竣工验收证明材料/竣工验收备案表/建设单位出具的完工证明</w:t>
            </w:r>
            <w:r>
              <w:rPr>
                <w:rFonts w:hint="eastAsia" w:ascii="宋体" w:hAnsi="宋体" w:eastAsia="宋体" w:cs="宋体"/>
                <w:bCs/>
                <w:color w:val="auto"/>
                <w:kern w:val="2"/>
                <w:sz w:val="24"/>
                <w:szCs w:val="24"/>
                <w:highlight w:val="none"/>
                <w:lang w:val="en-US" w:eastAsia="zh-CN"/>
              </w:rPr>
              <w:t>，如前述证明材料不能清晰反映有关特征和必要信息的，还需提供该项目工程业绩的业主证明材料并须附有业主方的联系人及联系电话。</w:t>
            </w:r>
          </w:p>
          <w:p w14:paraId="6B144FF1">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⑦</w:t>
            </w:r>
            <w:r>
              <w:rPr>
                <w:rFonts w:hint="eastAsia" w:ascii="宋体" w:hAnsi="宋体" w:eastAsia="宋体" w:cs="宋体"/>
                <w:bCs/>
                <w:color w:val="auto"/>
                <w:kern w:val="2"/>
                <w:sz w:val="24"/>
                <w:szCs w:val="24"/>
                <w:highlight w:val="none"/>
                <w:lang w:val="en-US" w:eastAsia="zh-CN"/>
              </w:rPr>
              <w:t>获奖情况的</w:t>
            </w:r>
            <w:r>
              <w:rPr>
                <w:rFonts w:hint="eastAsia" w:ascii="宋体" w:hAnsi="宋体" w:eastAsia="宋体" w:cs="宋体"/>
                <w:bCs/>
                <w:color w:val="auto"/>
                <w:kern w:val="2"/>
                <w:sz w:val="24"/>
                <w:szCs w:val="24"/>
                <w:highlight w:val="none"/>
              </w:rPr>
              <w:t>分值不超过</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分，大型工程仅可以设置国家级、省级奖项，其中国家级不超过</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个，省级不超过</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个，单独提交国家级或者省级奖项均能得满分；中型工程仅可以设置省级</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市级</w:t>
            </w:r>
            <w:r>
              <w:rPr>
                <w:rFonts w:hint="eastAsia" w:ascii="宋体" w:hAnsi="宋体" w:eastAsia="宋体" w:cs="宋体"/>
                <w:bCs/>
                <w:color w:val="auto"/>
                <w:kern w:val="2"/>
                <w:sz w:val="24"/>
                <w:szCs w:val="24"/>
                <w:highlight w:val="none"/>
              </w:rPr>
              <w:t>奖项，</w:t>
            </w:r>
            <w:r>
              <w:rPr>
                <w:rFonts w:hint="eastAsia" w:ascii="宋体" w:hAnsi="宋体" w:eastAsia="宋体" w:cs="宋体"/>
                <w:b w:val="0"/>
                <w:bCs/>
                <w:color w:val="auto"/>
                <w:spacing w:val="0"/>
                <w:kern w:val="2"/>
                <w:sz w:val="24"/>
                <w:szCs w:val="24"/>
                <w:highlight w:val="none"/>
                <w:u w:val="none"/>
                <w:lang w:val="en-US" w:eastAsia="zh-CN"/>
              </w:rPr>
              <w:t>省级不超过1个，市级不超过3个，单独提交省级或者市级奖项均能得满分，国家级与省级奖项同分；</w:t>
            </w:r>
            <w:r>
              <w:rPr>
                <w:rFonts w:hint="eastAsia" w:ascii="宋体" w:hAnsi="宋体" w:eastAsia="宋体" w:cs="宋体"/>
                <w:bCs/>
                <w:color w:val="auto"/>
                <w:kern w:val="2"/>
                <w:sz w:val="24"/>
                <w:szCs w:val="24"/>
                <w:highlight w:val="none"/>
              </w:rPr>
              <w:t>小型工程仅可以设置市级奖项，1个市级奖项即得满分，国家级奖项、省级、市级奖项同分。</w:t>
            </w:r>
          </w:p>
          <w:p w14:paraId="3CFBB5B0">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⑧类似项目业绩、获奖情况的考察时间为最近3年，公路水运、城市轨道交通、民航、水利、电力工程以及施工工期超过3年的其他工程的获奖情况考察时间可以放宽至5年。</w:t>
            </w:r>
          </w:p>
          <w:p w14:paraId="09C4E8C4">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⑨</w:t>
            </w:r>
            <w:r>
              <w:rPr>
                <w:rFonts w:hint="eastAsia" w:ascii="宋体" w:hAnsi="宋体" w:eastAsia="宋体" w:cs="宋体"/>
                <w:bCs/>
                <w:color w:val="auto"/>
                <w:kern w:val="2"/>
                <w:sz w:val="24"/>
                <w:szCs w:val="24"/>
                <w:highlight w:val="none"/>
                <w:shd w:val="clear" w:color="auto" w:fill="auto"/>
              </w:rPr>
              <w:t>获奖情况应当依据国家、省、市级的人民政府或者行业主管部门或者经民政部门批准成立的相关行业协会（学会）颁发的获奖证书或获奖正式文件确认。同一工程的获奖，评审应以</w:t>
            </w:r>
            <w:r>
              <w:rPr>
                <w:rFonts w:hint="eastAsia" w:ascii="宋体" w:hAnsi="宋体" w:eastAsia="宋体" w:cs="宋体"/>
                <w:bCs/>
                <w:color w:val="auto"/>
                <w:kern w:val="2"/>
                <w:sz w:val="24"/>
                <w:szCs w:val="24"/>
                <w:highlight w:val="none"/>
                <w:shd w:val="clear" w:color="auto" w:fill="auto"/>
                <w:lang w:val="en-US" w:eastAsia="zh-CN"/>
              </w:rPr>
              <w:t>当</w:t>
            </w:r>
            <w:r>
              <w:rPr>
                <w:rFonts w:hint="eastAsia" w:ascii="宋体" w:hAnsi="宋体" w:eastAsia="宋体" w:cs="宋体"/>
                <w:bCs/>
                <w:color w:val="auto"/>
                <w:kern w:val="2"/>
                <w:sz w:val="24"/>
                <w:szCs w:val="24"/>
                <w:highlight w:val="none"/>
                <w:shd w:val="clear" w:color="auto" w:fill="auto"/>
              </w:rPr>
              <w:t>就高计分为原则。</w:t>
            </w:r>
          </w:p>
          <w:p w14:paraId="799DFC68">
            <w:pPr>
              <w:spacing w:line="360" w:lineRule="auto"/>
              <w:rPr>
                <w:rFonts w:hint="eastAsia" w:ascii="宋体" w:hAnsi="宋体" w:eastAsia="宋体" w:cs="宋体"/>
                <w:bCs/>
                <w:color w:val="auto"/>
                <w:kern w:val="2"/>
                <w:sz w:val="24"/>
                <w:szCs w:val="24"/>
                <w:highlight w:val="none"/>
                <w:shd w:val="clear" w:color="auto" w:fill="auto"/>
              </w:rPr>
            </w:pPr>
            <w:r>
              <w:rPr>
                <w:rFonts w:hint="eastAsia" w:ascii="宋体" w:hAnsi="宋体" w:eastAsia="宋体" w:cs="宋体"/>
                <w:bCs/>
                <w:color w:val="auto"/>
                <w:kern w:val="2"/>
                <w:sz w:val="24"/>
                <w:szCs w:val="24"/>
                <w:highlight w:val="none"/>
                <w:lang w:val="en-US" w:eastAsia="zh-CN"/>
              </w:rPr>
              <w:t>⑩技术职称的专业和等级应当根据其技术职称证书确认，技术职称证书没有明确专业的，以学历证书确认；高级、正高级技术职称同分。不得设置非工程建设类技术职称。</w:t>
            </w:r>
          </w:p>
          <w:p w14:paraId="70CCC198">
            <w:pPr>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aps w:val="0"/>
                <w:color w:val="333333"/>
                <w:spacing w:val="0"/>
                <w:kern w:val="2"/>
                <w:sz w:val="24"/>
                <w:szCs w:val="24"/>
                <w:highlight w:val="none"/>
                <w:shd w:val="clear" w:color="auto" w:fill="FFFFFF"/>
              </w:rPr>
              <w:t>⑪</w:t>
            </w:r>
            <w:r>
              <w:rPr>
                <w:rFonts w:hint="eastAsia" w:ascii="宋体" w:hAnsi="宋体" w:eastAsia="宋体" w:cs="宋体"/>
                <w:bCs/>
                <w:color w:val="auto"/>
                <w:kern w:val="2"/>
                <w:sz w:val="24"/>
                <w:szCs w:val="24"/>
                <w:highlight w:val="none"/>
              </w:rPr>
              <w:t>执业资格的注册专业和等级应当根据其注册证书确认</w:t>
            </w:r>
            <w:r>
              <w:rPr>
                <w:rFonts w:hint="eastAsia" w:ascii="宋体" w:hAnsi="宋体" w:eastAsia="宋体" w:cs="宋体"/>
                <w:bCs/>
                <w:color w:val="auto"/>
                <w:kern w:val="2"/>
                <w:sz w:val="24"/>
                <w:szCs w:val="24"/>
                <w:highlight w:val="none"/>
                <w:lang w:eastAsia="zh-CN"/>
              </w:rPr>
              <w:t>。不得跨类别设置注册执业资格，不得设置非工程建设行业主管部门颁发的注册执业资格证书。</w:t>
            </w:r>
            <w:r>
              <w:rPr>
                <w:rFonts w:hint="eastAsia" w:ascii="宋体" w:hAnsi="宋体" w:eastAsia="宋体" w:cs="宋体"/>
                <w:bCs/>
                <w:color w:val="auto"/>
                <w:kern w:val="2"/>
                <w:sz w:val="24"/>
                <w:szCs w:val="24"/>
                <w:highlight w:val="none"/>
                <w:lang w:val="en-US" w:eastAsia="zh-CN"/>
              </w:rPr>
              <w:t>（施工类项目不得设置注册建造师等执业资格）</w:t>
            </w:r>
            <w:r>
              <w:rPr>
                <w:rFonts w:hint="eastAsia" w:ascii="宋体" w:hAnsi="宋体" w:eastAsia="宋体" w:cs="宋体"/>
                <w:bCs/>
                <w:color w:val="auto"/>
                <w:kern w:val="2"/>
                <w:sz w:val="24"/>
                <w:szCs w:val="24"/>
                <w:highlight w:val="none"/>
              </w:rPr>
              <w:t>。</w:t>
            </w:r>
          </w:p>
        </w:tc>
      </w:tr>
      <w:tr w14:paraId="013CC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6F6214FB">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0030FA09">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000000" w:sz="4" w:space="0"/>
              <w:bottom w:val="single" w:color="auto" w:sz="4" w:space="0"/>
              <w:right w:val="single" w:color="auto" w:sz="4" w:space="0"/>
            </w:tcBorders>
            <w:vAlign w:val="center"/>
          </w:tcPr>
          <w:p w14:paraId="4B73816E">
            <w:pPr>
              <w:widowControl/>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售后服务能力(2分)</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40BD9A9F">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考察投标文件对质量保修（售后服务）、服务响应时间的承诺，以承诺函的方式提交。</w:t>
            </w:r>
          </w:p>
          <w:p w14:paraId="60DA480E">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☑服务响应时间（2 分）：</w:t>
            </w:r>
          </w:p>
          <w:p w14:paraId="2DB189AF">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1.投标人服务便捷性高、响应时效快，承诺售后服务机构在接到需到达现场提供售后服务的通知后，</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6</w:t>
            </w:r>
            <w:r>
              <w:rPr>
                <w:rFonts w:hint="eastAsia" w:ascii="宋体" w:hAnsi="宋体" w:eastAsia="宋体" w:cs="宋体"/>
                <w:bCs/>
                <w:i w:val="0"/>
                <w:iCs w:val="0"/>
                <w:caps w:val="0"/>
                <w:color w:val="333333"/>
                <w:spacing w:val="0"/>
                <w:kern w:val="2"/>
                <w:sz w:val="24"/>
                <w:szCs w:val="24"/>
                <w:highlight w:val="none"/>
                <w:shd w:val="clear" w:color="auto" w:fill="FFFFFF"/>
              </w:rPr>
              <w:t>0 分钟（含）内到达项目所在地的，得 2 分；</w:t>
            </w:r>
          </w:p>
          <w:p w14:paraId="157FD322">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2.投标人服务便捷性、响应时效较好，承诺售后服务机构在接到需到达现场提供售后服务的通知后，</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60</w:t>
            </w:r>
            <w:r>
              <w:rPr>
                <w:rFonts w:hint="eastAsia" w:ascii="宋体" w:hAnsi="宋体" w:eastAsia="宋体" w:cs="宋体"/>
                <w:bCs/>
                <w:i w:val="0"/>
                <w:iCs w:val="0"/>
                <w:caps w:val="0"/>
                <w:color w:val="333333"/>
                <w:spacing w:val="0"/>
                <w:kern w:val="2"/>
                <w:sz w:val="24"/>
                <w:szCs w:val="24"/>
                <w:highlight w:val="none"/>
                <w:shd w:val="clear" w:color="auto" w:fill="FFFFFF"/>
              </w:rPr>
              <w:t xml:space="preserve"> 分钟（不含）</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-120</w:t>
            </w:r>
            <w:r>
              <w:rPr>
                <w:rFonts w:hint="eastAsia" w:ascii="宋体" w:hAnsi="宋体" w:eastAsia="宋体" w:cs="宋体"/>
                <w:bCs/>
                <w:i w:val="0"/>
                <w:iCs w:val="0"/>
                <w:caps w:val="0"/>
                <w:color w:val="333333"/>
                <w:spacing w:val="0"/>
                <w:kern w:val="2"/>
                <w:sz w:val="24"/>
                <w:szCs w:val="24"/>
                <w:highlight w:val="none"/>
                <w:shd w:val="clear" w:color="auto" w:fill="FFFFFF"/>
              </w:rPr>
              <w:t>分钟（含）内到达项目所在地的，得 1.</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5</w:t>
            </w:r>
            <w:r>
              <w:rPr>
                <w:rFonts w:hint="eastAsia" w:ascii="宋体" w:hAnsi="宋体" w:eastAsia="宋体" w:cs="宋体"/>
                <w:bCs/>
                <w:i w:val="0"/>
                <w:iCs w:val="0"/>
                <w:caps w:val="0"/>
                <w:color w:val="333333"/>
                <w:spacing w:val="0"/>
                <w:kern w:val="2"/>
                <w:sz w:val="24"/>
                <w:szCs w:val="24"/>
                <w:highlight w:val="none"/>
                <w:shd w:val="clear" w:color="auto" w:fill="FFFFFF"/>
              </w:rPr>
              <w:t>分；</w:t>
            </w:r>
          </w:p>
          <w:p w14:paraId="7EF0D856">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3.投标人服务便捷性、响应时效尚可，承诺售后服务机构在接到需到达现场提供售后服务的通知后，</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120</w:t>
            </w:r>
            <w:r>
              <w:rPr>
                <w:rFonts w:hint="eastAsia" w:ascii="宋体" w:hAnsi="宋体" w:eastAsia="宋体" w:cs="宋体"/>
                <w:bCs/>
                <w:i w:val="0"/>
                <w:iCs w:val="0"/>
                <w:caps w:val="0"/>
                <w:color w:val="333333"/>
                <w:spacing w:val="0"/>
                <w:kern w:val="2"/>
                <w:sz w:val="24"/>
                <w:szCs w:val="24"/>
                <w:highlight w:val="none"/>
                <w:shd w:val="clear" w:color="auto" w:fill="FFFFFF"/>
              </w:rPr>
              <w:t>分钟（不含）-</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180</w:t>
            </w:r>
            <w:r>
              <w:rPr>
                <w:rFonts w:hint="eastAsia" w:ascii="宋体" w:hAnsi="宋体" w:eastAsia="宋体" w:cs="宋体"/>
                <w:bCs/>
                <w:i w:val="0"/>
                <w:iCs w:val="0"/>
                <w:caps w:val="0"/>
                <w:color w:val="333333"/>
                <w:spacing w:val="0"/>
                <w:kern w:val="2"/>
                <w:sz w:val="24"/>
                <w:szCs w:val="24"/>
                <w:highlight w:val="none"/>
                <w:shd w:val="clear" w:color="auto" w:fill="FFFFFF"/>
              </w:rPr>
              <w:t xml:space="preserve">分钟（含）内到达项目所在地的，得 </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1.0</w:t>
            </w:r>
            <w:r>
              <w:rPr>
                <w:rFonts w:hint="eastAsia" w:ascii="宋体" w:hAnsi="宋体" w:eastAsia="宋体" w:cs="宋体"/>
                <w:bCs/>
                <w:i w:val="0"/>
                <w:iCs w:val="0"/>
                <w:caps w:val="0"/>
                <w:color w:val="333333"/>
                <w:spacing w:val="0"/>
                <w:kern w:val="2"/>
                <w:sz w:val="24"/>
                <w:szCs w:val="24"/>
                <w:highlight w:val="none"/>
                <w:shd w:val="clear" w:color="auto" w:fill="FFFFFF"/>
              </w:rPr>
              <w:t xml:space="preserve"> 分；</w:t>
            </w:r>
          </w:p>
          <w:p w14:paraId="4CCAEB75">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上述选项共划分三个档次，每档分差为 0.</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5</w:t>
            </w:r>
            <w:r>
              <w:rPr>
                <w:rFonts w:hint="eastAsia" w:ascii="宋体" w:hAnsi="宋体" w:eastAsia="宋体" w:cs="宋体"/>
                <w:bCs/>
                <w:i w:val="0"/>
                <w:iCs w:val="0"/>
                <w:caps w:val="0"/>
                <w:color w:val="333333"/>
                <w:spacing w:val="0"/>
                <w:kern w:val="2"/>
                <w:sz w:val="24"/>
                <w:szCs w:val="24"/>
                <w:highlight w:val="none"/>
                <w:shd w:val="clear" w:color="auto" w:fill="FFFFFF"/>
              </w:rPr>
              <w:t xml:space="preserve"> 分（该项分值的20%～40%）。</w:t>
            </w:r>
          </w:p>
          <w:p w14:paraId="3C87FB66">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注：投标需要提供承诺函（格式自拟），不提供则不得分。</w:t>
            </w:r>
          </w:p>
        </w:tc>
      </w:tr>
      <w:tr w14:paraId="73E84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bottom w:val="single" w:color="auto" w:sz="4" w:space="0"/>
              <w:right w:val="single" w:color="auto" w:sz="4" w:space="0"/>
            </w:tcBorders>
            <w:vAlign w:val="center"/>
          </w:tcPr>
          <w:p w14:paraId="72734A8B">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bottom w:val="single" w:color="auto" w:sz="4" w:space="0"/>
              <w:right w:val="single" w:color="auto" w:sz="4" w:space="0"/>
            </w:tcBorders>
            <w:vAlign w:val="center"/>
          </w:tcPr>
          <w:p w14:paraId="6B2FA3B2">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7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13458">
            <w:pPr>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注：1.各评审因素得分分值的计算按四舍五入法保留两位有效小数。</w:t>
            </w:r>
          </w:p>
          <w:p w14:paraId="01552DE3">
            <w:pPr>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2.若资信标评审因素出现评分不一致的情形，由评标委员会全体成员按照少数服从多数的原则，以记名投票方式表决，并记录在案。</w:t>
            </w:r>
          </w:p>
        </w:tc>
      </w:tr>
      <w:tr w14:paraId="711B7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14:paraId="16E7544A">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2.2.4</w:t>
            </w:r>
          </w:p>
          <w:p w14:paraId="77E58220">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(3)</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14:paraId="00CF7FB0">
            <w:pPr>
              <w:keepNext w:val="0"/>
              <w:keepLines w:val="0"/>
              <w:pageBreakBefore w:val="0"/>
              <w:wordWrap/>
              <w:overflowPunct/>
              <w:topLinePunct w:val="0"/>
              <w:bidi w:val="0"/>
              <w:spacing w:line="360" w:lineRule="auto"/>
              <w:jc w:val="center"/>
              <w:rPr>
                <w:rFonts w:hint="eastAsia" w:ascii="宋体" w:hAnsi="宋体" w:eastAsia="宋体" w:cs="宋体"/>
                <w:b w:val="0"/>
                <w:bCs/>
                <w:spacing w:val="-6"/>
                <w:sz w:val="24"/>
                <w:szCs w:val="24"/>
                <w:highlight w:val="none"/>
              </w:rPr>
            </w:pPr>
            <w:r>
              <w:rPr>
                <w:rFonts w:hint="eastAsia" w:ascii="宋体" w:hAnsi="宋体" w:eastAsia="宋体" w:cs="宋体"/>
                <w:bCs/>
                <w:sz w:val="24"/>
                <w:szCs w:val="24"/>
                <w:highlight w:val="none"/>
              </w:rPr>
              <w:t>经济标（7</w:t>
            </w:r>
            <w:r>
              <w:rPr>
                <w:rFonts w:hint="eastAsia" w:ascii="宋体" w:hAnsi="宋体" w:eastAsia="宋体" w:cs="宋体"/>
                <w:bCs/>
                <w:sz w:val="24"/>
                <w:szCs w:val="24"/>
                <w:highlight w:val="none"/>
                <w:lang w:val="en-US"/>
              </w:rPr>
              <w:t>0</w:t>
            </w:r>
            <w:r>
              <w:rPr>
                <w:rFonts w:hint="eastAsia" w:ascii="宋体" w:hAnsi="宋体" w:eastAsia="宋体" w:cs="宋体"/>
                <w:bCs/>
                <w:sz w:val="24"/>
                <w:szCs w:val="24"/>
                <w:highlight w:val="none"/>
              </w:rPr>
              <w:t>分）</w:t>
            </w:r>
          </w:p>
        </w:tc>
        <w:tc>
          <w:tcPr>
            <w:tcW w:w="1994" w:type="dxa"/>
            <w:tcBorders>
              <w:top w:val="single" w:color="auto" w:sz="4" w:space="0"/>
              <w:left w:val="single" w:color="auto" w:sz="4" w:space="0"/>
              <w:bottom w:val="single" w:color="auto" w:sz="4" w:space="0"/>
              <w:right w:val="single" w:color="auto" w:sz="4" w:space="0"/>
            </w:tcBorders>
            <w:vAlign w:val="center"/>
          </w:tcPr>
          <w:p w14:paraId="047567C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评审规则</w:t>
            </w:r>
          </w:p>
        </w:tc>
        <w:tc>
          <w:tcPr>
            <w:tcW w:w="5431" w:type="dxa"/>
            <w:tcBorders>
              <w:top w:val="single" w:color="auto" w:sz="4" w:space="0"/>
              <w:left w:val="single" w:color="auto" w:sz="4" w:space="0"/>
              <w:bottom w:val="single" w:color="auto" w:sz="4" w:space="0"/>
              <w:right w:val="single" w:color="auto" w:sz="4" w:space="0"/>
            </w:tcBorders>
            <w:vAlign w:val="top"/>
          </w:tcPr>
          <w:p w14:paraId="22368303">
            <w:pPr>
              <w:widowControl/>
              <w:numPr>
                <w:ilvl w:val="-1"/>
                <w:numId w:val="0"/>
              </w:numPr>
              <w:spacing w:line="360" w:lineRule="auto"/>
              <w:jc w:val="left"/>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lang w:val="en-US" w:eastAsia="zh-CN"/>
              </w:rPr>
              <w:t>在开标时通过</w:t>
            </w:r>
            <w:r>
              <w:rPr>
                <w:rFonts w:hint="eastAsia" w:ascii="宋体" w:hAnsi="宋体" w:eastAsia="宋体" w:cs="宋体"/>
                <w:bCs/>
                <w:sz w:val="24"/>
                <w:szCs w:val="24"/>
                <w:highlight w:val="none"/>
              </w:rPr>
              <w:t>电脑随机或者摇珠随机</w:t>
            </w:r>
            <w:r>
              <w:rPr>
                <w:rFonts w:hint="eastAsia" w:ascii="宋体" w:hAnsi="宋体" w:eastAsia="宋体" w:cs="宋体"/>
                <w:bCs/>
                <w:color w:val="auto"/>
                <w:sz w:val="24"/>
                <w:szCs w:val="24"/>
                <w:highlight w:val="none"/>
                <w:lang w:val="en-US" w:eastAsia="zh-CN"/>
              </w:rPr>
              <w:t>等方式从合理平均值、综合平均值中随机抽取一种评标基准价计算办法，将进入经济标评审环节的所有投标人的有效投标报价作为依据计算出评标基准价（四舍五入保留两位有效小数），最后依据评标基准价确定投标人的经济标得分。</w:t>
            </w:r>
          </w:p>
          <w:p w14:paraId="5C4BD124">
            <w:pPr>
              <w:widowControl/>
              <w:numPr>
                <w:ilvl w:val="-1"/>
                <w:numId w:val="0"/>
              </w:num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2.下浮率K：以0.2%为一档等差增序排号，开标时通过</w:t>
            </w:r>
            <w:r>
              <w:rPr>
                <w:rFonts w:hint="eastAsia" w:ascii="宋体" w:hAnsi="宋体" w:eastAsia="宋体" w:cs="宋体"/>
                <w:bCs/>
                <w:sz w:val="24"/>
                <w:szCs w:val="24"/>
                <w:highlight w:val="none"/>
              </w:rPr>
              <w:t>电脑随机或者摇珠随机</w:t>
            </w:r>
            <w:r>
              <w:rPr>
                <w:rFonts w:hint="eastAsia" w:ascii="宋体" w:hAnsi="宋体" w:eastAsia="宋体" w:cs="宋体"/>
                <w:bCs/>
                <w:sz w:val="24"/>
                <w:szCs w:val="24"/>
                <w:highlight w:val="none"/>
                <w:lang w:val="en-US" w:eastAsia="zh-CN"/>
              </w:rPr>
              <w:t>抽取3个不同</w:t>
            </w:r>
            <w:r>
              <w:rPr>
                <w:rFonts w:hint="eastAsia" w:ascii="宋体" w:hAnsi="宋体" w:eastAsia="宋体" w:cs="宋体"/>
                <w:bCs/>
                <w:color w:val="auto"/>
                <w:sz w:val="24"/>
                <w:szCs w:val="24"/>
                <w:highlight w:val="none"/>
                <w:lang w:val="en-US" w:eastAsia="zh-CN"/>
              </w:rPr>
              <w:t>数值</w:t>
            </w:r>
            <w:r>
              <w:rPr>
                <w:rFonts w:hint="eastAsia" w:ascii="宋体" w:hAnsi="宋体" w:eastAsia="宋体" w:cs="宋体"/>
                <w:bCs/>
                <w:sz w:val="24"/>
                <w:szCs w:val="24"/>
                <w:highlight w:val="none"/>
                <w:lang w:val="en-US" w:eastAsia="zh-CN"/>
              </w:rPr>
              <w:t>，3个</w:t>
            </w:r>
            <w:r>
              <w:rPr>
                <w:rFonts w:hint="eastAsia" w:ascii="宋体" w:hAnsi="宋体" w:eastAsia="宋体" w:cs="宋体"/>
                <w:bCs/>
                <w:color w:val="auto"/>
                <w:sz w:val="24"/>
                <w:szCs w:val="24"/>
                <w:highlight w:val="none"/>
                <w:lang w:val="en-US" w:eastAsia="zh-CN"/>
              </w:rPr>
              <w:t>数值</w:t>
            </w:r>
            <w:r>
              <w:rPr>
                <w:rFonts w:hint="eastAsia" w:ascii="宋体" w:hAnsi="宋体" w:eastAsia="宋体" w:cs="宋体"/>
                <w:bCs/>
                <w:sz w:val="24"/>
                <w:szCs w:val="24"/>
                <w:highlight w:val="none"/>
                <w:lang w:val="en-US" w:eastAsia="zh-CN"/>
              </w:rPr>
              <w:t>的平均值即为下浮率k，k四舍五入精确到0.01%。</w:t>
            </w:r>
          </w:p>
          <w:p w14:paraId="3A72B98C">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3.F1值：由招标人在开标时通过随机等方式，从【0.4、0.45、0.5、0.55、0.6、0.65、0.7、0.75、0.8】9个数字中抽取产生。</w:t>
            </w:r>
          </w:p>
          <w:p w14:paraId="086D9925">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投标报价等于基准价的，得满分；</w:t>
            </w:r>
            <w:r>
              <w:rPr>
                <w:rFonts w:hint="eastAsia" w:ascii="宋体" w:hAnsi="宋体" w:eastAsia="宋体" w:cs="宋体"/>
                <w:bCs/>
                <w:color w:val="auto"/>
                <w:sz w:val="24"/>
                <w:szCs w:val="24"/>
                <w:highlight w:val="none"/>
                <w:lang w:val="en-US" w:eastAsia="zh-CN"/>
              </w:rPr>
              <w:t>报价偏离评标基准价时应当扣除相应单位分值F值：</w:t>
            </w:r>
            <w:r>
              <w:rPr>
                <w:rFonts w:hint="eastAsia" w:ascii="宋体" w:hAnsi="宋体" w:eastAsia="宋体" w:cs="宋体"/>
                <w:bCs/>
                <w:color w:val="auto"/>
                <w:sz w:val="24"/>
                <w:szCs w:val="24"/>
                <w:highlight w:val="none"/>
                <w:lang w:eastAsia="zh-CN"/>
              </w:rPr>
              <w:t>投标报价低于该基准价的，每低于</w:t>
            </w:r>
            <w:r>
              <w:rPr>
                <w:rFonts w:hint="eastAsia" w:ascii="宋体" w:hAnsi="宋体" w:eastAsia="宋体" w:cs="宋体"/>
                <w:bCs/>
                <w:color w:val="auto"/>
                <w:sz w:val="24"/>
                <w:szCs w:val="24"/>
                <w:highlight w:val="none"/>
                <w:lang w:val="en-US" w:eastAsia="zh-CN"/>
              </w:rPr>
              <w:t>1%扣一定的分值（F1</w:t>
            </w:r>
            <w:r>
              <w:rPr>
                <w:rFonts w:hint="eastAsia" w:ascii="宋体" w:hAnsi="宋体" w:eastAsia="宋体" w:cs="宋体"/>
                <w:bCs/>
                <w:color w:val="auto"/>
                <w:sz w:val="24"/>
                <w:szCs w:val="24"/>
                <w:highlight w:val="none"/>
                <w:lang w:eastAsia="zh-CN"/>
              </w:rPr>
              <w:t>），投标价格高于该基准价的，每高出1%扣一定的分值（</w:t>
            </w:r>
            <w:r>
              <w:rPr>
                <w:rFonts w:hint="eastAsia" w:ascii="宋体" w:hAnsi="宋体" w:eastAsia="宋体" w:cs="宋体"/>
                <w:bCs/>
                <w:color w:val="auto"/>
                <w:sz w:val="24"/>
                <w:szCs w:val="24"/>
                <w:highlight w:val="none"/>
                <w:lang w:val="en-US" w:eastAsia="zh-CN"/>
              </w:rPr>
              <w:t>F2</w:t>
            </w:r>
            <w:r>
              <w:rPr>
                <w:rFonts w:hint="eastAsia" w:ascii="宋体" w:hAnsi="宋体" w:eastAsia="宋体" w:cs="宋体"/>
                <w:bCs/>
                <w:color w:val="auto"/>
                <w:sz w:val="24"/>
                <w:szCs w:val="24"/>
                <w:highlight w:val="none"/>
                <w:lang w:eastAsia="zh-CN"/>
              </w:rPr>
              <w:t>），其余采用直线插入法计算</w:t>
            </w:r>
            <w:r>
              <w:rPr>
                <w:rFonts w:hint="eastAsia" w:ascii="宋体" w:hAnsi="宋体" w:eastAsia="宋体" w:cs="宋体"/>
                <w:bCs/>
                <w:color w:val="auto"/>
                <w:sz w:val="24"/>
                <w:szCs w:val="24"/>
                <w:highlight w:val="none"/>
                <w:lang w:val="en-US" w:eastAsia="zh-CN"/>
              </w:rPr>
              <w:t>。</w:t>
            </w:r>
          </w:p>
        </w:tc>
      </w:tr>
      <w:tr w14:paraId="0F843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78C71032">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460118E9">
            <w:pPr>
              <w:keepNext w:val="0"/>
              <w:keepLines w:val="0"/>
              <w:pageBreakBefore w:val="0"/>
              <w:wordWrap/>
              <w:overflowPunct/>
              <w:topLinePunct w:val="0"/>
              <w:bidi w:val="0"/>
              <w:spacing w:line="360" w:lineRule="auto"/>
              <w:jc w:val="center"/>
              <w:rPr>
                <w:rFonts w:hint="eastAsia" w:ascii="宋体" w:hAnsi="宋体" w:eastAsia="宋体" w:cs="宋体"/>
                <w:b w:val="0"/>
                <w:bCs/>
                <w:spacing w:val="-6"/>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216C557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报价得分计算公式</w:t>
            </w:r>
          </w:p>
        </w:tc>
        <w:tc>
          <w:tcPr>
            <w:tcW w:w="5431" w:type="dxa"/>
            <w:tcBorders>
              <w:top w:val="single" w:color="auto" w:sz="4" w:space="0"/>
              <w:left w:val="single" w:color="auto" w:sz="4" w:space="0"/>
              <w:bottom w:val="single" w:color="auto" w:sz="4" w:space="0"/>
              <w:right w:val="single" w:color="auto" w:sz="4" w:space="0"/>
            </w:tcBorders>
          </w:tcPr>
          <w:p w14:paraId="1A2CC7C1">
            <w:pPr>
              <w:keepNext w:val="0"/>
              <w:keepLines w:val="0"/>
              <w:pageBreakBefore w:val="0"/>
              <w:wordWrap/>
              <w:overflowPunct/>
              <w:topLinePunct w:val="0"/>
              <w:bidi w:val="0"/>
              <w:spacing w:after="312" w:afterLines="100"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报价得分：M＝N-100 ×</w:t>
            </w:r>
            <w:r>
              <w:rPr>
                <w:rFonts w:hint="eastAsia" w:ascii="宋体" w:hAnsi="宋体" w:eastAsia="宋体" w:cs="宋体"/>
                <w:bCs/>
                <w:position w:val="-30"/>
                <w:sz w:val="24"/>
                <w:szCs w:val="24"/>
                <w:highlight w:val="none"/>
              </w:rPr>
              <w:object>
                <v:shape id="_x0000_i1025" o:spt="75" type="#_x0000_t75" style="height:32.65pt;width:46.1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eastAsia="宋体" w:cs="宋体"/>
                <w:bCs/>
                <w:sz w:val="24"/>
                <w:szCs w:val="24"/>
                <w:highlight w:val="none"/>
              </w:rPr>
              <w:t>×F</w:t>
            </w:r>
          </w:p>
          <w:p w14:paraId="49A613AA">
            <w:pPr>
              <w:keepNext w:val="0"/>
              <w:keepLines w:val="0"/>
              <w:pageBreakBefore w:val="0"/>
              <w:wordWrap/>
              <w:overflowPunct/>
              <w:topLinePunct w:val="0"/>
              <w:bidi w:val="0"/>
              <w:spacing w:after="312" w:afterLines="100"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其中 N（分）：投标报价权重分值，为</w:t>
            </w:r>
            <w:r>
              <w:rPr>
                <w:rFonts w:hint="eastAsia" w:ascii="宋体" w:hAnsi="宋体" w:eastAsia="宋体" w:cs="宋体"/>
                <w:bCs/>
                <w:sz w:val="24"/>
                <w:szCs w:val="24"/>
                <w:highlight w:val="none"/>
                <w:u w:val="single"/>
              </w:rPr>
              <w:t xml:space="preserve"> 7</w:t>
            </w:r>
            <w:r>
              <w:rPr>
                <w:rFonts w:hint="eastAsia" w:ascii="宋体" w:hAnsi="宋体" w:eastAsia="宋体" w:cs="宋体"/>
                <w:bCs/>
                <w:sz w:val="24"/>
                <w:szCs w:val="24"/>
                <w:highlight w:val="none"/>
                <w:u w:val="single"/>
                <w:lang w:val="en-US"/>
              </w:rPr>
              <w:t>0</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分；</w:t>
            </w:r>
          </w:p>
          <w:p w14:paraId="02A2053D">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P（元）：投标文件通过初步评审的有效投标报价；</w:t>
            </w:r>
          </w:p>
          <w:p w14:paraId="596879B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Q（元）：评标基准价；</w:t>
            </w:r>
          </w:p>
          <w:p w14:paraId="0AB59749">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F：偏离扣分分值，F2＝</w:t>
            </w:r>
            <w:r>
              <w:rPr>
                <w:rFonts w:hint="eastAsia" w:ascii="宋体" w:hAnsi="宋体" w:eastAsia="宋体" w:cs="宋体"/>
                <w:bCs/>
                <w:sz w:val="24"/>
                <w:szCs w:val="24"/>
                <w:highlight w:val="none"/>
                <w:u w:val="single"/>
              </w:rPr>
              <w:t xml:space="preserve"> 2 </w:t>
            </w:r>
            <w:r>
              <w:rPr>
                <w:rFonts w:hint="eastAsia" w:ascii="宋体" w:hAnsi="宋体" w:eastAsia="宋体" w:cs="宋体"/>
                <w:bCs/>
                <w:sz w:val="24"/>
                <w:szCs w:val="24"/>
                <w:highlight w:val="none"/>
              </w:rPr>
              <w:t>F1（F2≥2F1）。</w:t>
            </w:r>
          </w:p>
          <w:p w14:paraId="5CEC43D3">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F1值由招标人在开标时通过电脑随机或者摇珠随机的方式，从0.4至0.8（以0.05递增）中随机抽取产生。</w:t>
            </w:r>
          </w:p>
          <w:p w14:paraId="79349973">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注：计算值按四舍五入法保留两位有效小数，本项最低得分为0分。</w:t>
            </w:r>
          </w:p>
        </w:tc>
      </w:tr>
    </w:tbl>
    <w:p w14:paraId="71B69199">
      <w:pPr>
        <w:keepNext/>
        <w:keepLines/>
        <w:spacing w:before="280" w:after="290" w:line="376" w:lineRule="auto"/>
        <w:ind w:firstLine="498"/>
        <w:jc w:val="center"/>
        <w:outlineLvl w:val="3"/>
        <w:rPr>
          <w:rFonts w:ascii="Arial" w:hAnsi="Arial" w:eastAsia="黑体" w:cs="Times New Roman"/>
          <w:b/>
          <w:bCs/>
          <w:sz w:val="28"/>
          <w:szCs w:val="28"/>
          <w:highlight w:val="none"/>
        </w:rPr>
      </w:pPr>
      <w:r>
        <w:rPr>
          <w:rFonts w:ascii="Arial" w:hAnsi="Arial" w:eastAsia="黑体" w:cs="Times New Roman"/>
          <w:b/>
          <w:bCs/>
          <w:kern w:val="0"/>
          <w:sz w:val="28"/>
          <w:szCs w:val="28"/>
          <w:highlight w:val="none"/>
        </w:rPr>
        <w:br w:type="page"/>
      </w:r>
      <w:r>
        <w:rPr>
          <w:rFonts w:hint="eastAsia" w:ascii="Arial" w:hAnsi="Arial" w:eastAsia="黑体" w:cs="Times New Roman"/>
          <w:b/>
          <w:bCs/>
          <w:sz w:val="28"/>
          <w:szCs w:val="28"/>
          <w:highlight w:val="none"/>
        </w:rPr>
        <w:t>评标办法正文部分</w:t>
      </w:r>
    </w:p>
    <w:p w14:paraId="5A4F995D">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1.评标方法</w:t>
      </w:r>
    </w:p>
    <w:p w14:paraId="30C5CBFE">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次评标采用综合评估法。评标委员会对满足招标文件实质要求的投标文件，根据本章规定的评分标准进行评分，并按总得分由高到低顺序推荐中标候选人，但投标报价低于其成本的除外。综合评分相等时，以投标报价低的优先；如果投标报价相同，则资信部分得分较高的投标人排序优先。按上述环节依然存在同分情形而不能确认排名顺序时，由评标委员会投票决定排名顺序。</w:t>
      </w:r>
    </w:p>
    <w:p w14:paraId="7B3ECCDF">
      <w:pPr>
        <w:keepNext/>
        <w:keepLines/>
        <w:pageBreakBefore w:val="0"/>
        <w:widowControl w:val="0"/>
        <w:kinsoku/>
        <w:wordWrap/>
        <w:overflowPunct/>
        <w:topLinePunct w:val="0"/>
        <w:autoSpaceDE/>
        <w:autoSpaceDN/>
        <w:bidi w:val="0"/>
        <w:spacing w:line="440" w:lineRule="exact"/>
        <w:ind w:firstLine="569"/>
        <w:textAlignment w:val="auto"/>
        <w:outlineLvl w:val="2"/>
        <w:rPr>
          <w:rFonts w:ascii="Calibri" w:hAnsi="Calibri" w:eastAsia="宋体" w:cs="Times New Roman"/>
          <w:b/>
          <w:bCs/>
          <w:sz w:val="32"/>
          <w:szCs w:val="32"/>
          <w:highlight w:val="none"/>
        </w:rPr>
      </w:pPr>
    </w:p>
    <w:p w14:paraId="5ED85CFF">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2、评审标准</w:t>
      </w:r>
    </w:p>
    <w:p w14:paraId="25E50624">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2.1 初步评审标准</w:t>
      </w:r>
    </w:p>
    <w:p w14:paraId="5A37F558">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2.1.1 形式评审标准：见评标办法前附表。</w:t>
      </w:r>
    </w:p>
    <w:p w14:paraId="15FF13A2">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4DEB3644">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2.1.3 响应性评审标准：见评标办法前附表。</w:t>
      </w:r>
    </w:p>
    <w:p w14:paraId="5249D5CF">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746B5A5B">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2.2 分值构成与评分标准</w:t>
      </w:r>
    </w:p>
    <w:p w14:paraId="5DFE70A0">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2.2.1 分值构成</w:t>
      </w:r>
    </w:p>
    <w:p w14:paraId="559DCD23">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（1）技术部分：见评标办法前附表；</w:t>
      </w:r>
    </w:p>
    <w:p w14:paraId="067BD881">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（2）资信部分：见评标办法前附表；</w:t>
      </w:r>
    </w:p>
    <w:p w14:paraId="72E5347B">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（3）经济部分：见评标办法前附表。</w:t>
      </w:r>
    </w:p>
    <w:p w14:paraId="7D5B8B9C">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2.2.2 评标基准价计算</w:t>
      </w:r>
    </w:p>
    <w:p w14:paraId="4F148D77">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评标基准价计算方法：见评标办法前附表。</w:t>
      </w:r>
    </w:p>
    <w:p w14:paraId="55CD67FB">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2.2.3 投标报价的偏差率计算</w:t>
      </w:r>
    </w:p>
    <w:p w14:paraId="34BB991A">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投标报价的偏差率计算公式：见评标办法前附表。</w:t>
      </w:r>
    </w:p>
    <w:p w14:paraId="4A535BD7">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2.2.4 评分标准</w:t>
      </w:r>
    </w:p>
    <w:p w14:paraId="4E33D892">
      <w:pPr>
        <w:pageBreakBefore w:val="0"/>
        <w:widowControl w:val="0"/>
        <w:kinsoku/>
        <w:wordWrap/>
        <w:overflowPunct/>
        <w:topLinePunct w:val="0"/>
        <w:autoSpaceDE/>
        <w:autoSpaceDN/>
        <w:bidi w:val="0"/>
        <w:spacing w:line="440" w:lineRule="exact"/>
        <w:ind w:left="1200" w:hanging="1200" w:hangingChars="5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（1）技术部分评分标准：见评标办法前附表；</w:t>
      </w:r>
    </w:p>
    <w:p w14:paraId="0B0FAEFE">
      <w:pPr>
        <w:pageBreakBefore w:val="0"/>
        <w:widowControl w:val="0"/>
        <w:kinsoku/>
        <w:wordWrap/>
        <w:overflowPunct/>
        <w:topLinePunct w:val="0"/>
        <w:autoSpaceDE/>
        <w:autoSpaceDN/>
        <w:bidi w:val="0"/>
        <w:spacing w:line="440" w:lineRule="exact"/>
        <w:ind w:firstLine="600" w:firstLineChars="250"/>
        <w:textAlignment w:val="auto"/>
        <w:rPr>
          <w:rFonts w:ascii="宋体" w:hAnsi="宋体" w:eastAsia="宋体" w:cs="宋体"/>
          <w:sz w:val="24"/>
          <w:szCs w:val="24"/>
          <w:highlight w:val="none"/>
        </w:rPr>
      </w:pPr>
      <w:r>
        <w:rPr>
          <w:rFonts w:hint="eastAsia" w:ascii="宋体" w:hAnsi="宋体" w:eastAsia="宋体" w:cs="宋体"/>
          <w:sz w:val="24"/>
          <w:szCs w:val="24"/>
          <w:highlight w:val="none"/>
        </w:rPr>
        <w:t>（2）资信部分评分标准：见评标办法前附表；</w:t>
      </w:r>
    </w:p>
    <w:p w14:paraId="5B0E6FAF">
      <w:pPr>
        <w:pageBreakBefore w:val="0"/>
        <w:widowControl w:val="0"/>
        <w:kinsoku/>
        <w:wordWrap/>
        <w:overflowPunct/>
        <w:topLinePunct w:val="0"/>
        <w:autoSpaceDE/>
        <w:autoSpaceDN/>
        <w:bidi w:val="0"/>
        <w:spacing w:line="440" w:lineRule="exact"/>
        <w:ind w:firstLine="600" w:firstLineChars="250"/>
        <w:textAlignment w:val="auto"/>
        <w:rPr>
          <w:rFonts w:ascii="宋体" w:hAnsi="宋体" w:eastAsia="宋体" w:cs="宋体"/>
          <w:sz w:val="24"/>
          <w:szCs w:val="24"/>
          <w:highlight w:val="none"/>
        </w:rPr>
      </w:pPr>
      <w:r>
        <w:rPr>
          <w:rFonts w:hint="eastAsia" w:ascii="宋体" w:hAnsi="宋体" w:eastAsia="宋体" w:cs="宋体"/>
          <w:sz w:val="24"/>
          <w:szCs w:val="24"/>
          <w:highlight w:val="none"/>
        </w:rPr>
        <w:t>（3）经济部分评分标准：见评标办法前附表。</w:t>
      </w:r>
    </w:p>
    <w:p w14:paraId="5F9B6EDD">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018D011">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3、评标程序</w:t>
      </w:r>
    </w:p>
    <w:p w14:paraId="05D01F89">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3.1 基本程序</w:t>
      </w:r>
    </w:p>
    <w:p w14:paraId="68E892B7">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评标活动将按以下六个步骤进行：</w:t>
      </w:r>
    </w:p>
    <w:p w14:paraId="677969F8">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（1）评标准备；</w:t>
      </w:r>
    </w:p>
    <w:p w14:paraId="5BCA70FD">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（2）初步评审；</w:t>
      </w:r>
    </w:p>
    <w:p w14:paraId="31CC9BA6">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（3）详细评审；</w:t>
      </w:r>
    </w:p>
    <w:p w14:paraId="2925CA42">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（4）澄清、说明或补正；</w:t>
      </w:r>
    </w:p>
    <w:p w14:paraId="716D9893">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（5）推荐中标候选人，提交评标报告。</w:t>
      </w:r>
    </w:p>
    <w:p w14:paraId="446C3043">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00AEE5C">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3.2评标准备</w:t>
      </w:r>
    </w:p>
    <w:p w14:paraId="2D4AC032">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3.2.1 评标委员会成员签到</w:t>
      </w:r>
    </w:p>
    <w:p w14:paraId="7ACB222D">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评标委员会成员到达评标现场时应在签到表上签到以证明其出席。</w:t>
      </w:r>
    </w:p>
    <w:p w14:paraId="7CAEB9DB">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3.2.2 </w:t>
      </w:r>
      <w:r>
        <w:rPr>
          <w:rFonts w:hint="eastAsia" w:ascii="宋体" w:hAnsi="宋体" w:eastAsia="宋体" w:cs="宋体"/>
          <w:sz w:val="24"/>
          <w:szCs w:val="20"/>
          <w:highlight w:val="none"/>
        </w:rPr>
        <w:t>评标委员会的分工</w:t>
      </w:r>
    </w:p>
    <w:p w14:paraId="0CF98A23">
      <w:pPr>
        <w:pageBreakBefore w:val="0"/>
        <w:widowControl w:val="0"/>
        <w:kinsoku/>
        <w:wordWrap/>
        <w:overflowPunct/>
        <w:topLinePunct w:val="0"/>
        <w:autoSpaceDE/>
        <w:autoSpaceDN/>
        <w:bidi w:val="0"/>
        <w:spacing w:line="440" w:lineRule="exact"/>
        <w:ind w:left="720" w:leftChars="343"/>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评标委员会首先推选一名评标委员会负责人。评标委员会负责人负责评标活动的组织领导工作。</w:t>
      </w:r>
    </w:p>
    <w:p w14:paraId="7E5EBA45">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3.2.3 </w:t>
      </w:r>
      <w:r>
        <w:rPr>
          <w:rFonts w:hint="eastAsia" w:ascii="宋体" w:hAnsi="宋体" w:eastAsia="宋体" w:cs="宋体"/>
          <w:sz w:val="24"/>
          <w:szCs w:val="20"/>
          <w:highlight w:val="none"/>
        </w:rPr>
        <w:t>熟悉文件资料</w:t>
      </w:r>
    </w:p>
    <w:p w14:paraId="3D157031">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3.2.3.1 评标委员会负责人应组织评标委员会成员认真研究招标文件，了解和熟悉招标目的、招标范围、主要合同条件、技术标准和要求、质量标准和工期要求等，掌握评标标准和方法。未在招标文件中规定的标准和方法不得作为评标的依据。</w:t>
      </w:r>
    </w:p>
    <w:p w14:paraId="448B0096">
      <w:pPr>
        <w:pageBreakBefore w:val="0"/>
        <w:widowControl w:val="0"/>
        <w:kinsoku/>
        <w:wordWrap/>
        <w:overflowPunct/>
        <w:topLinePunct w:val="0"/>
        <w:autoSpaceDE/>
        <w:autoSpaceDN/>
        <w:bidi w:val="0"/>
        <w:adjustRightInd w:val="0"/>
        <w:snapToGrid w:val="0"/>
        <w:spacing w:line="440" w:lineRule="exact"/>
        <w:ind w:left="960" w:hanging="960" w:hangingChars="4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3.2.3.2招标代理机构应向评标委员会提供评标所需的信息和数据，包括招标文件、未在开标会上当场拒绝的各投标文件、开标会记录、招标控制价（最高投标限价）、工程所在地工程造价管理部门颁布的工程造价信息、定额(如作为计价依据时)、有关的政策文件、国家标准以及评标委员会认为必要的其他信息和数据。但不得明示或者暗示其倾向或者排斥特定投标人。</w:t>
      </w:r>
    </w:p>
    <w:p w14:paraId="501AA059">
      <w:pPr>
        <w:pageBreakBefore w:val="0"/>
        <w:widowControl w:val="0"/>
        <w:kinsoku/>
        <w:wordWrap/>
        <w:overflowPunct/>
        <w:topLinePunct w:val="0"/>
        <w:autoSpaceDE/>
        <w:autoSpaceDN/>
        <w:bidi w:val="0"/>
        <w:spacing w:line="440" w:lineRule="exact"/>
        <w:textAlignment w:val="auto"/>
        <w:rPr>
          <w:rFonts w:ascii="宋体" w:hAnsi="宋体" w:eastAsia="宋体" w:cs="Times New Roman"/>
          <w:b/>
          <w:bCs/>
          <w:sz w:val="24"/>
          <w:szCs w:val="20"/>
          <w:highlight w:val="none"/>
        </w:rPr>
      </w:pPr>
      <w:r>
        <w:rPr>
          <w:rFonts w:hint="eastAsia" w:ascii="宋体" w:hAnsi="宋体" w:eastAsia="宋体" w:cs="Times New Roman"/>
          <w:sz w:val="24"/>
          <w:szCs w:val="20"/>
          <w:highlight w:val="none"/>
        </w:rPr>
        <w:t>3.2.4 对投标文件进行基础性数据分析和整理工作（清标）</w:t>
      </w:r>
    </w:p>
    <w:p w14:paraId="369AB0D3">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Times New Roman"/>
          <w:sz w:val="24"/>
          <w:highlight w:val="none"/>
        </w:rPr>
      </w:pPr>
      <w:r>
        <w:rPr>
          <w:rFonts w:hint="eastAsia" w:ascii="宋体" w:hAnsi="宋体" w:eastAsia="宋体" w:cs="Times New Roman"/>
          <w:sz w:val="24"/>
          <w:highlight w:val="none"/>
        </w:rPr>
        <w:t>3.2.4.1 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3240FE38">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3.2.4.2 投标人接到评标委员会发出的问题澄清通知后，应按评标委员会的要求提供书面澄清资料并按要求进行密封，在规定的时间递交到指定地点。投标人递交的书面澄清资料由评标委员会开启。</w:t>
      </w:r>
    </w:p>
    <w:p w14:paraId="3DA54182">
      <w:pPr>
        <w:keepNext/>
        <w:keepLines/>
        <w:pageBreakBefore w:val="0"/>
        <w:widowControl w:val="0"/>
        <w:kinsoku/>
        <w:wordWrap/>
        <w:overflowPunct/>
        <w:topLinePunct w:val="0"/>
        <w:autoSpaceDE/>
        <w:autoSpaceDN/>
        <w:bidi w:val="0"/>
        <w:spacing w:line="440" w:lineRule="exact"/>
        <w:ind w:firstLine="569"/>
        <w:textAlignment w:val="auto"/>
        <w:outlineLvl w:val="2"/>
        <w:rPr>
          <w:rFonts w:ascii="Calibri" w:hAnsi="Calibri" w:eastAsia="宋体" w:cs="Times New Roman"/>
          <w:b/>
          <w:bCs/>
          <w:sz w:val="32"/>
          <w:szCs w:val="32"/>
          <w:highlight w:val="none"/>
        </w:rPr>
      </w:pPr>
    </w:p>
    <w:p w14:paraId="1AF66A17">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3.3初步评审</w:t>
      </w:r>
    </w:p>
    <w:p w14:paraId="2D0A208E">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0"/>
          <w:highlight w:val="none"/>
        </w:rPr>
      </w:pPr>
      <w:r>
        <w:rPr>
          <w:rFonts w:hint="eastAsia" w:ascii="宋体" w:hAnsi="宋体" w:eastAsia="宋体" w:cs="宋体"/>
          <w:sz w:val="24"/>
          <w:szCs w:val="20"/>
          <w:highlight w:val="none"/>
        </w:rPr>
        <w:t>评标委员会依据本章规定的标准对投标文件进行初步评审。有一项不符合评审标准的，评标委员会应当否决其投标。</w:t>
      </w:r>
    </w:p>
    <w:p w14:paraId="3AB0DCAD">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3.3.1形式评审</w:t>
      </w:r>
    </w:p>
    <w:p w14:paraId="310D7609">
      <w:pPr>
        <w:pageBreakBefore w:val="0"/>
        <w:widowControl w:val="0"/>
        <w:kinsoku/>
        <w:wordWrap/>
        <w:overflowPunct/>
        <w:topLinePunct w:val="0"/>
        <w:autoSpaceDE/>
        <w:autoSpaceDN/>
        <w:bidi w:val="0"/>
        <w:spacing w:line="440" w:lineRule="exact"/>
        <w:ind w:left="718" w:leftChars="342"/>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评标委员会根据评标办法前附表中规定的评审因素和评审标准，对投标人的投标文件进行形式评审。</w:t>
      </w:r>
    </w:p>
    <w:p w14:paraId="605572B1">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3.3.2 资格评审</w:t>
      </w:r>
    </w:p>
    <w:p w14:paraId="2C1783C1">
      <w:pPr>
        <w:pageBreakBefore w:val="0"/>
        <w:widowControl w:val="0"/>
        <w:kinsoku/>
        <w:wordWrap/>
        <w:overflowPunct/>
        <w:topLinePunct w:val="0"/>
        <w:autoSpaceDE/>
        <w:autoSpaceDN/>
        <w:bidi w:val="0"/>
        <w:spacing w:line="440" w:lineRule="exact"/>
        <w:ind w:left="718" w:leftChars="342"/>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评标委员会根据评标办法前附表中的规定的评审因素和评审标准，对投标人的投标文件进行资格评审。</w:t>
      </w:r>
    </w:p>
    <w:p w14:paraId="4F32D82D">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 响应性评审</w:t>
      </w:r>
    </w:p>
    <w:p w14:paraId="65D05F96">
      <w:pPr>
        <w:pageBreakBefore w:val="0"/>
        <w:widowControl w:val="0"/>
        <w:kinsoku/>
        <w:wordWrap/>
        <w:overflowPunct/>
        <w:topLinePunct w:val="0"/>
        <w:autoSpaceDE/>
        <w:autoSpaceDN/>
        <w:bidi w:val="0"/>
        <w:spacing w:line="440" w:lineRule="exact"/>
        <w:ind w:left="840" w:hanging="840" w:hangingChars="35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3.3.3.1 评标委员会根据评标办法前附表中规定的评审因素和评审标准，对投标人的投标文件进行响应性评审。</w:t>
      </w:r>
    </w:p>
    <w:p w14:paraId="4D09ECB5">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3.3.3.2 投标人投标价格不得超出（不含等于）按照“投标人须知”前附表载明的招标控制价（最高投标限价），凡投标人的投标价格超出招标控制价（最高投标限价）的，该投标人的投标文件不能通过响应性评审。</w:t>
      </w:r>
    </w:p>
    <w:p w14:paraId="6F485A99">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3.3.4 判断否决投标</w:t>
      </w:r>
    </w:p>
    <w:p w14:paraId="47008D33">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bCs/>
          <w:sz w:val="24"/>
          <w:szCs w:val="24"/>
          <w:highlight w:val="none"/>
        </w:rPr>
      </w:pPr>
      <w:r>
        <w:rPr>
          <w:rFonts w:hint="eastAsia" w:ascii="宋体" w:hAnsi="宋体" w:eastAsia="宋体" w:cs="宋体"/>
          <w:sz w:val="24"/>
          <w:szCs w:val="24"/>
          <w:highlight w:val="none"/>
        </w:rPr>
        <w:t xml:space="preserve">  判断否决投标的全部条件，在本招标文件《</w:t>
      </w:r>
      <w:r>
        <w:rPr>
          <w:rFonts w:hint="eastAsia" w:ascii="宋体" w:hAnsi="宋体" w:eastAsia="宋体" w:cs="宋体"/>
          <w:bCs/>
          <w:sz w:val="24"/>
          <w:szCs w:val="24"/>
          <w:highlight w:val="none"/>
        </w:rPr>
        <w:t>投标文件否决性条款摘要》</w:t>
      </w:r>
      <w:r>
        <w:rPr>
          <w:rFonts w:hint="eastAsia" w:ascii="宋体" w:hAnsi="宋体" w:eastAsia="宋体" w:cs="宋体"/>
          <w:sz w:val="24"/>
          <w:szCs w:val="24"/>
          <w:highlight w:val="none"/>
        </w:rPr>
        <w:t>中集中列示。</w:t>
      </w:r>
    </w:p>
    <w:p w14:paraId="666B69B9">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3.3.5 算术错误修正</w:t>
      </w:r>
    </w:p>
    <w:p w14:paraId="0AF190AA">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投标报价有算术错误的，评标委员会按以下原则对投标报价进行修正，修正的价格经投标人书面确认后具有约束力。投标人不接受修正价格的，评标委员会应否决其投标。</w:t>
      </w:r>
    </w:p>
    <w:p w14:paraId="2E505EDF">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（1）投标文件中的大写金额与小写金额不一致的，以大写金额为准；</w:t>
      </w:r>
    </w:p>
    <w:p w14:paraId="140BC293">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（2）总价金额与依据单价计算出的结果不一致的，以单价金额为准修正总价，但单价金额小数点有明显错误的除外；如果单价金额小数点有明显错误，应以总价为准修正单价。</w:t>
      </w:r>
    </w:p>
    <w:p w14:paraId="10E199D8">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3.3.6 澄清、说明或补正</w:t>
      </w:r>
    </w:p>
    <w:p w14:paraId="36C7144D">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在初步评审过程中，评标委员会应当就投标文件中含义不明确、对同类问题表述不一致或者有明显文字和计算错误的内容要求投标人进行澄清、说明或者补正。投标人应当根据问题澄清通知要求，以书面形式予以澄清、说明或者补正。</w:t>
      </w:r>
    </w:p>
    <w:p w14:paraId="2353B6A6">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3.4详细评审</w:t>
      </w:r>
    </w:p>
    <w:p w14:paraId="2589B352">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highlight w:val="none"/>
        </w:rPr>
        <w:t>3.4.1 只有通过了初步评审、被判定为合格的投标人方可进入详细评审。</w:t>
      </w:r>
    </w:p>
    <w:p w14:paraId="23C971C5">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highlight w:val="none"/>
        </w:rPr>
      </w:pPr>
      <w:r>
        <w:rPr>
          <w:rFonts w:hint="eastAsia" w:ascii="宋体" w:hAnsi="宋体" w:eastAsia="宋体" w:cs="宋体"/>
          <w:sz w:val="24"/>
          <w:highlight w:val="none"/>
        </w:rPr>
        <w:t>3.4.2 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评标委员会应该认定该投标人以低于成本报价竞标，否决其投标。</w:t>
      </w:r>
    </w:p>
    <w:p w14:paraId="34658F39">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Times New Roman"/>
          <w:b/>
          <w:bCs/>
          <w:sz w:val="24"/>
          <w:highlight w:val="none"/>
        </w:rPr>
      </w:pPr>
      <w:r>
        <w:rPr>
          <w:rFonts w:hint="eastAsia" w:ascii="宋体" w:hAnsi="宋体" w:eastAsia="宋体" w:cs="等线"/>
          <w:sz w:val="24"/>
          <w:highlight w:val="none"/>
        </w:rPr>
        <w:t>3.4.3 按照评标办法前附表中规定的分值设定各项评分因素、评分标准，对技术部分、资信部分评审和评分；</w:t>
      </w:r>
    </w:p>
    <w:p w14:paraId="1555AF90">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等线"/>
          <w:b/>
          <w:bCs/>
          <w:sz w:val="24"/>
          <w:highlight w:val="none"/>
        </w:rPr>
      </w:pPr>
      <w:r>
        <w:rPr>
          <w:rFonts w:hint="eastAsia" w:ascii="宋体" w:hAnsi="宋体" w:eastAsia="宋体" w:cs="等线"/>
          <w:sz w:val="24"/>
          <w:highlight w:val="none"/>
        </w:rPr>
        <w:t xml:space="preserve"> 3.4.4 按照评标办法前附表中规定的分值设定各项评分因素、评分标准，对经济部分（投标报价）评审和评分，并对明显低于其他投标报价的投标报价，或者在设有标底时明显低于标底的投标报价，判断是否低于其个别成本；</w:t>
      </w:r>
    </w:p>
    <w:p w14:paraId="1647CF6B">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等线"/>
          <w:b/>
          <w:bCs/>
          <w:sz w:val="24"/>
          <w:highlight w:val="none"/>
        </w:rPr>
      </w:pPr>
      <w:r>
        <w:rPr>
          <w:rFonts w:hint="eastAsia" w:ascii="宋体" w:hAnsi="宋体" w:eastAsia="宋体" w:cs="等线"/>
          <w:sz w:val="24"/>
          <w:highlight w:val="none"/>
        </w:rPr>
        <w:t>3.4.5 所有评委对技术部分和资信部分的独立评分的算术平均值，分别为各投标人技术部分得分和资信部分得分，各得分分值计算保留小数点后两位，小数点后第三位“四舍五入”。</w:t>
      </w:r>
    </w:p>
    <w:p w14:paraId="69D039D6">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Times New Roman"/>
          <w:b/>
          <w:bCs/>
          <w:sz w:val="24"/>
          <w:szCs w:val="24"/>
          <w:highlight w:val="none"/>
        </w:rPr>
      </w:pPr>
      <w:r>
        <w:rPr>
          <w:rFonts w:hint="eastAsia" w:ascii="宋体" w:hAnsi="宋体" w:eastAsia="宋体" w:cs="Times New Roman"/>
          <w:sz w:val="24"/>
          <w:szCs w:val="24"/>
          <w:highlight w:val="none"/>
        </w:rPr>
        <w:t>3.4.6 汇总技术部分、资信部分、经济部分的综合得分。</w:t>
      </w:r>
    </w:p>
    <w:p w14:paraId="7D12F88F">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3.4.7澄清、说明或补正</w:t>
      </w:r>
    </w:p>
    <w:p w14:paraId="3F46C512">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3.4.7.1 在详细评审过程中，评标委员会可以书面形式要求投标人对所提交的投标文件中含义不明确、对同类问题表述不一致或者有明显文字和计算错误的内容进行书面澄清或说明，或者对细微偏差进行补正。评标委员会不接受投标人主动提出的澄清、说明或补正。</w:t>
      </w:r>
    </w:p>
    <w:p w14:paraId="43B2ADEF">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3.4.7.2 澄清、说明和补正不得改变投标文件的实质性内容（算术性错误修正的除外）。投标人的书面澄清、说明和补正属于投标文件的组成部分。</w:t>
      </w:r>
    </w:p>
    <w:p w14:paraId="79A65165">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3.4.7.3 评标委员会对投标人提交的澄清、说明或补正有疑问的，可以要求投标人进一步澄清、说明或补正，直至满足评标委员会的要求。</w:t>
      </w:r>
    </w:p>
    <w:p w14:paraId="3DC55042">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199B91E8">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3.5推荐中标候选人</w:t>
      </w:r>
    </w:p>
    <w:p w14:paraId="48E5E3A8">
      <w:pPr>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详细评审工作全部结束后，按照详细评审最终得分由高至低的次序对投标人进行排序，推荐中标候选人。</w:t>
      </w:r>
    </w:p>
    <w:p w14:paraId="362523F1">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EC83BF3">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3.6编制并提交评标报告</w:t>
      </w:r>
    </w:p>
    <w:p w14:paraId="4A9089CB">
      <w:pPr>
        <w:pageBreakBefore w:val="0"/>
        <w:widowControl w:val="0"/>
        <w:kinsoku/>
        <w:wordWrap/>
        <w:overflowPunct/>
        <w:topLinePunct w:val="0"/>
        <w:autoSpaceDE/>
        <w:autoSpaceDN/>
        <w:bidi w:val="0"/>
        <w:adjustRightInd w:val="0"/>
        <w:snapToGrid w:val="0"/>
        <w:spacing w:line="440" w:lineRule="exact"/>
        <w:ind w:left="479" w:leftChars="228"/>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评标委员会在评审结束后向招标人提交评标报告。评标报告应当由全体评标委员会成员签字，并于评标结束时抄送有关行政监督部门。</w:t>
      </w:r>
    </w:p>
    <w:p w14:paraId="1DED227F">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4B40404D">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0"/>
          <w:highlight w:val="none"/>
        </w:rPr>
        <w:t>特殊情况的处置程序</w:t>
      </w:r>
    </w:p>
    <w:p w14:paraId="17398CDB">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4.1关于评标活动暂停</w:t>
      </w:r>
    </w:p>
    <w:p w14:paraId="7D86B8C6">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4.1.1 评标委员会应当执行连续评标的原则，按评标办法中规定的程序、内容、方法、标准完成全部评标工作。只有发生不可抗力导致评标工作无法继续时，评标活动方可暂停。</w:t>
      </w:r>
    </w:p>
    <w:p w14:paraId="21C5423A">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4.1.2 发生评标暂停情况时，评标委员会应当封存全部投标文件和评标记录，待不可抗力的影响结束且具备继续评标的条件时，由原评标委员会继续评标。</w:t>
      </w:r>
    </w:p>
    <w:p w14:paraId="2E8194A1">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2C35880">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4.2关于评标中途更换评委</w:t>
      </w:r>
    </w:p>
    <w:p w14:paraId="75A0B08C">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Times New Roman"/>
          <w:sz w:val="24"/>
          <w:szCs w:val="24"/>
          <w:highlight w:val="none"/>
        </w:rPr>
      </w:pPr>
      <w:r>
        <w:rPr>
          <w:rFonts w:hint="eastAsia" w:ascii="宋体" w:hAnsi="宋体" w:eastAsia="宋体" w:cs="等线"/>
          <w:sz w:val="24"/>
          <w:highlight w:val="none"/>
        </w:rPr>
        <w:t>4.2.1 除非发生下列情况之一，评标委员会成员不得在评标中途更换：</w:t>
      </w:r>
    </w:p>
    <w:p w14:paraId="02CA1F28">
      <w:pPr>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等线"/>
          <w:sz w:val="24"/>
          <w:highlight w:val="none"/>
        </w:rPr>
      </w:pPr>
      <w:r>
        <w:rPr>
          <w:rFonts w:hint="eastAsia" w:ascii="宋体" w:hAnsi="宋体" w:eastAsia="宋体" w:cs="等线"/>
          <w:sz w:val="24"/>
          <w:highlight w:val="none"/>
        </w:rPr>
        <w:t xml:space="preserve">      （1）评标委员会成员有回避事由、擅离职守或者因健康等原因不能继续评标的。</w:t>
      </w:r>
    </w:p>
    <w:p w14:paraId="27BEE0A2">
      <w:pPr>
        <w:pageBreakBefore w:val="0"/>
        <w:widowControl w:val="0"/>
        <w:kinsoku/>
        <w:wordWrap/>
        <w:overflowPunct/>
        <w:topLinePunct w:val="0"/>
        <w:autoSpaceDE/>
        <w:autoSpaceDN/>
        <w:bidi w:val="0"/>
        <w:adjustRightInd w:val="0"/>
        <w:snapToGrid w:val="0"/>
        <w:spacing w:line="440" w:lineRule="exact"/>
        <w:ind w:left="720" w:hanging="720" w:hangingChars="300"/>
        <w:textAlignment w:val="auto"/>
        <w:rPr>
          <w:rFonts w:ascii="宋体" w:hAnsi="宋体" w:eastAsia="宋体" w:cs="等线"/>
          <w:sz w:val="24"/>
          <w:highlight w:val="none"/>
        </w:rPr>
      </w:pPr>
      <w:r>
        <w:rPr>
          <w:rFonts w:hint="eastAsia" w:ascii="宋体" w:hAnsi="宋体" w:eastAsia="宋体" w:cs="等线"/>
          <w:sz w:val="24"/>
          <w:highlight w:val="none"/>
        </w:rPr>
        <w:t xml:space="preserve">      （2）评标委员会成员存在与投标人有利害关系以及其他可能影响公正评标的情况，并已经进入评标的。</w:t>
      </w:r>
    </w:p>
    <w:p w14:paraId="7777AA48">
      <w:pPr>
        <w:pageBreakBefore w:val="0"/>
        <w:widowControl w:val="0"/>
        <w:kinsoku/>
        <w:wordWrap/>
        <w:overflowPunct/>
        <w:topLinePunct w:val="0"/>
        <w:autoSpaceDE/>
        <w:autoSpaceDN/>
        <w:bidi w:val="0"/>
        <w:adjustRightInd w:val="0"/>
        <w:snapToGrid w:val="0"/>
        <w:spacing w:line="440" w:lineRule="exact"/>
        <w:ind w:left="720" w:hanging="720" w:hangingChars="300"/>
        <w:textAlignment w:val="auto"/>
        <w:rPr>
          <w:rFonts w:ascii="宋体" w:hAnsi="宋体" w:eastAsia="宋体" w:cs="等线"/>
          <w:sz w:val="24"/>
          <w:highlight w:val="none"/>
        </w:rPr>
      </w:pPr>
      <w:bookmarkStart w:id="257" w:name="_Toc110345709"/>
      <w:bookmarkStart w:id="258" w:name="_Toc83307473"/>
      <w:bookmarkStart w:id="259" w:name="_Toc77943271"/>
      <w:bookmarkStart w:id="260" w:name="_Toc77087250"/>
      <w:r>
        <w:rPr>
          <w:rFonts w:hint="eastAsia" w:ascii="宋体" w:hAnsi="宋体" w:eastAsia="宋体" w:cs="等线"/>
          <w:sz w:val="24"/>
          <w:highlight w:val="none"/>
        </w:rPr>
        <w:t>4.2.2 被更换的评标委员会成员作出的评审结论无效，由更换后的评标委员会成员重新进行评审。</w:t>
      </w:r>
      <w:bookmarkEnd w:id="257"/>
      <w:bookmarkEnd w:id="258"/>
      <w:bookmarkEnd w:id="259"/>
      <w:bookmarkEnd w:id="260"/>
    </w:p>
    <w:p w14:paraId="792758A9">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5EB2B870">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4.3记名投票</w:t>
      </w:r>
    </w:p>
    <w:p w14:paraId="26BCC881">
      <w:pPr>
        <w:pageBreakBefore w:val="0"/>
        <w:widowControl w:val="0"/>
        <w:kinsoku/>
        <w:wordWrap/>
        <w:overflowPunct/>
        <w:topLinePunct w:val="0"/>
        <w:autoSpaceDE/>
        <w:autoSpaceDN/>
        <w:bidi w:val="0"/>
        <w:spacing w:line="440" w:lineRule="exact"/>
        <w:ind w:firstLine="425"/>
        <w:textAlignment w:val="auto"/>
        <w:rPr>
          <w:rFonts w:ascii="Times New Roman" w:hAnsi="Times New Roman" w:eastAsia="宋体" w:cs="Times New Roman"/>
          <w:szCs w:val="24"/>
          <w:highlight w:val="none"/>
        </w:rPr>
      </w:pPr>
      <w:r>
        <w:rPr>
          <w:rFonts w:hint="eastAsia" w:ascii="宋体" w:hAnsi="宋体" w:eastAsia="宋体" w:cs="宋体"/>
          <w:kern w:val="0"/>
          <w:sz w:val="24"/>
          <w:szCs w:val="24"/>
          <w:highlight w:val="none"/>
        </w:rPr>
        <w:t>在任何评标环节中，需评标委员会就某项定性的评审结论做出表决的，由评标委员会全体成员按照少数服从多数的原则，以记名投票方式表决。</w:t>
      </w:r>
    </w:p>
    <w:p w14:paraId="186E46A9">
      <w:pPr>
        <w:ind w:firstLine="372"/>
        <w:rPr>
          <w:rFonts w:ascii="Times New Roman" w:hAnsi="Times New Roman" w:eastAsia="宋体" w:cs="Times New Roman"/>
          <w:szCs w:val="24"/>
          <w:highlight w:val="none"/>
        </w:rPr>
      </w:pPr>
    </w:p>
    <w:p w14:paraId="245F3832">
      <w:pPr>
        <w:ind w:firstLine="372"/>
        <w:rPr>
          <w:rFonts w:ascii="Times New Roman" w:hAnsi="Times New Roman" w:eastAsia="宋体" w:cs="Times New Roman"/>
          <w:szCs w:val="24"/>
          <w:highlight w:val="none"/>
        </w:rPr>
      </w:pPr>
    </w:p>
    <w:p w14:paraId="4F269F13">
      <w:pPr>
        <w:ind w:firstLine="372"/>
        <w:rPr>
          <w:rFonts w:ascii="Times New Roman" w:hAnsi="Times New Roman" w:eastAsia="宋体" w:cs="Times New Roman"/>
          <w:szCs w:val="24"/>
          <w:highlight w:val="none"/>
        </w:rPr>
      </w:pPr>
    </w:p>
    <w:p w14:paraId="01120D92">
      <w:pPr>
        <w:rPr>
          <w:rFonts w:hint="eastAsia"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br w:type="page"/>
      </w:r>
    </w:p>
    <w:p w14:paraId="1AF14F6B">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t>技术标准和要求</w:t>
      </w:r>
    </w:p>
    <w:p w14:paraId="575F1EE4">
      <w:pPr>
        <w:kinsoku w:val="0"/>
        <w:overflowPunct w:val="0"/>
        <w:autoSpaceDE w:val="0"/>
        <w:autoSpaceDN w:val="0"/>
        <w:adjustRightInd w:val="0"/>
        <w:spacing w:before="11"/>
        <w:ind w:firstLine="640"/>
        <w:jc w:val="left"/>
        <w:rPr>
          <w:rFonts w:ascii="宋体" w:hAnsi="Times New Roman" w:eastAsia="宋体" w:cs="宋体"/>
          <w:b/>
          <w:bCs/>
          <w:kern w:val="0"/>
          <w:sz w:val="36"/>
          <w:szCs w:val="36"/>
          <w:highlight w:val="none"/>
        </w:rPr>
      </w:pPr>
    </w:p>
    <w:p w14:paraId="38AA89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rFonts w:hint="eastAsia"/>
          <w:sz w:val="24"/>
          <w:szCs w:val="24"/>
          <w:highlight w:val="none"/>
        </w:rPr>
        <w:t>依据设计文件的要求，本招标项目的材料、设备、施工及建设成果须达到现行的中华人民共和国、省或行业的工程建设标准及规范的要求。</w:t>
      </w:r>
    </w:p>
    <w:p w14:paraId="30E6B4C5">
      <w:pPr>
        <w:ind w:firstLine="372"/>
        <w:rPr>
          <w:rFonts w:ascii="Times New Roman" w:hAnsi="Times New Roman" w:eastAsia="宋体" w:cs="Times New Roman"/>
          <w:szCs w:val="24"/>
          <w:highlight w:val="none"/>
        </w:rPr>
      </w:pPr>
    </w:p>
    <w:p w14:paraId="70AC6EC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789A290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09D853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4F17AF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5958208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23F1255C">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8659FE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550A1F6">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05CB3C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DB172D7">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73E0A5B">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C4D854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00458E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695EA884">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1CC7B0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236EAA6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77E28FE2">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D08891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6964FD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F9BD9A9">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7943813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60C151BC">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A6784B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75ED8BE">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15BAC21">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5832042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E4F5724">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06591B1">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FE5AD1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658E8BE4">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5080B0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57FF291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26D237A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04EFC2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285D5B3">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B8C544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CA3CDEA">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t>其他附件</w:t>
      </w:r>
    </w:p>
    <w:p w14:paraId="5E3E21CF">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10" w:usb3="00000000" w:csb0="00040001" w:csb1="00000000"/>
  </w:font>
  <w:font w:name="Kingsoft UE">
    <w:panose1 w:val="02000100010000000000"/>
    <w:charset w:val="00"/>
    <w:family w:val="auto"/>
    <w:pitch w:val="default"/>
    <w:sig w:usb0="00000001" w:usb1="00004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817142"/>
    </w:sdtPr>
    <w:sdtContent>
      <w:p w14:paraId="21A0CB94">
        <w:pPr>
          <w:pStyle w:val="34"/>
          <w:jc w:val="center"/>
        </w:pPr>
        <w:r>
          <w:fldChar w:fldCharType="begin"/>
        </w:r>
        <w:r>
          <w:instrText xml:space="preserve">PAGE   \* MERGEFORMAT</w:instrText>
        </w:r>
        <w:r>
          <w:fldChar w:fldCharType="separate"/>
        </w:r>
        <w:r>
          <w:rPr>
            <w:lang w:val="zh-CN"/>
          </w:rPr>
          <w:t>10</w:t>
        </w:r>
        <w:r>
          <w:fldChar w:fldCharType="end"/>
        </w:r>
      </w:p>
    </w:sdtContent>
  </w:sdt>
  <w:p w14:paraId="4B77E5DF">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E2F41"/>
    <w:multiLevelType w:val="singleLevel"/>
    <w:tmpl w:val="E33E2F41"/>
    <w:lvl w:ilvl="0" w:tentative="0">
      <w:start w:val="1"/>
      <w:numFmt w:val="chineseCounting"/>
      <w:suff w:val="nothing"/>
      <w:lvlText w:val="%1、"/>
      <w:lvlJc w:val="left"/>
      <w:rPr>
        <w:rFonts w:hint="eastAsia"/>
      </w:rPr>
    </w:lvl>
  </w:abstractNum>
  <w:abstractNum w:abstractNumId="1">
    <w:nsid w:val="FB611BB8"/>
    <w:multiLevelType w:val="singleLevel"/>
    <w:tmpl w:val="FB611BB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YWZjYTBkZGI1ZjgyYWUxNDc1ZjY5MmI3YzUyMzMifQ=="/>
    <w:docVar w:name="KSO_WPS_MARK_KEY" w:val="cedf55b6-cfc8-499e-a072-24549c7139fd"/>
  </w:docVars>
  <w:rsids>
    <w:rsidRoot w:val="00105F76"/>
    <w:rsid w:val="00002EF5"/>
    <w:rsid w:val="000250F2"/>
    <w:rsid w:val="00083C1B"/>
    <w:rsid w:val="00102C3B"/>
    <w:rsid w:val="00105F76"/>
    <w:rsid w:val="00116415"/>
    <w:rsid w:val="00122D8A"/>
    <w:rsid w:val="0013245E"/>
    <w:rsid w:val="00175B31"/>
    <w:rsid w:val="00195CD4"/>
    <w:rsid w:val="001E0185"/>
    <w:rsid w:val="00232D36"/>
    <w:rsid w:val="002502B4"/>
    <w:rsid w:val="00255935"/>
    <w:rsid w:val="002B3183"/>
    <w:rsid w:val="002F1C77"/>
    <w:rsid w:val="003000C8"/>
    <w:rsid w:val="00314D1D"/>
    <w:rsid w:val="0032103E"/>
    <w:rsid w:val="0032281A"/>
    <w:rsid w:val="00323B6B"/>
    <w:rsid w:val="00354506"/>
    <w:rsid w:val="00387E32"/>
    <w:rsid w:val="00394055"/>
    <w:rsid w:val="003B2773"/>
    <w:rsid w:val="003C6749"/>
    <w:rsid w:val="003F3D83"/>
    <w:rsid w:val="00415703"/>
    <w:rsid w:val="004744F0"/>
    <w:rsid w:val="00476ECB"/>
    <w:rsid w:val="00495D98"/>
    <w:rsid w:val="004B57A5"/>
    <w:rsid w:val="004D756D"/>
    <w:rsid w:val="005071DA"/>
    <w:rsid w:val="00516B57"/>
    <w:rsid w:val="00552715"/>
    <w:rsid w:val="00560946"/>
    <w:rsid w:val="00564F76"/>
    <w:rsid w:val="00571B61"/>
    <w:rsid w:val="00571ED6"/>
    <w:rsid w:val="0058086C"/>
    <w:rsid w:val="00584EC5"/>
    <w:rsid w:val="005D5B9F"/>
    <w:rsid w:val="005D6B80"/>
    <w:rsid w:val="005F2F28"/>
    <w:rsid w:val="006060C9"/>
    <w:rsid w:val="00635D41"/>
    <w:rsid w:val="0065576C"/>
    <w:rsid w:val="006A5A61"/>
    <w:rsid w:val="006B4FA4"/>
    <w:rsid w:val="006E6D58"/>
    <w:rsid w:val="00706087"/>
    <w:rsid w:val="00735A07"/>
    <w:rsid w:val="00771ECA"/>
    <w:rsid w:val="00790116"/>
    <w:rsid w:val="007925FB"/>
    <w:rsid w:val="007C0F02"/>
    <w:rsid w:val="007D7AEA"/>
    <w:rsid w:val="00800E90"/>
    <w:rsid w:val="00811862"/>
    <w:rsid w:val="00850C20"/>
    <w:rsid w:val="00851122"/>
    <w:rsid w:val="00855A99"/>
    <w:rsid w:val="00882271"/>
    <w:rsid w:val="008A1807"/>
    <w:rsid w:val="008B2CAB"/>
    <w:rsid w:val="008D104B"/>
    <w:rsid w:val="008F0DEE"/>
    <w:rsid w:val="008F114E"/>
    <w:rsid w:val="00912689"/>
    <w:rsid w:val="0092405B"/>
    <w:rsid w:val="009A088F"/>
    <w:rsid w:val="009C597E"/>
    <w:rsid w:val="009D36B0"/>
    <w:rsid w:val="009E303E"/>
    <w:rsid w:val="009E669C"/>
    <w:rsid w:val="00A65612"/>
    <w:rsid w:val="00A84208"/>
    <w:rsid w:val="00A86EEC"/>
    <w:rsid w:val="00AB2A06"/>
    <w:rsid w:val="00AB2F83"/>
    <w:rsid w:val="00AB70E5"/>
    <w:rsid w:val="00AC1BE2"/>
    <w:rsid w:val="00AC1CB4"/>
    <w:rsid w:val="00AF7F80"/>
    <w:rsid w:val="00B0376D"/>
    <w:rsid w:val="00B22477"/>
    <w:rsid w:val="00B27C54"/>
    <w:rsid w:val="00B37071"/>
    <w:rsid w:val="00B46BA3"/>
    <w:rsid w:val="00B64F41"/>
    <w:rsid w:val="00B67498"/>
    <w:rsid w:val="00BB2DDF"/>
    <w:rsid w:val="00BB7F1C"/>
    <w:rsid w:val="00C01B33"/>
    <w:rsid w:val="00C469AC"/>
    <w:rsid w:val="00C96C65"/>
    <w:rsid w:val="00CB1A52"/>
    <w:rsid w:val="00CB7118"/>
    <w:rsid w:val="00CD2D5B"/>
    <w:rsid w:val="00CD68DB"/>
    <w:rsid w:val="00CF5DBC"/>
    <w:rsid w:val="00D92882"/>
    <w:rsid w:val="00DA6188"/>
    <w:rsid w:val="00DD308D"/>
    <w:rsid w:val="00DF57A9"/>
    <w:rsid w:val="00E603CD"/>
    <w:rsid w:val="00E6130F"/>
    <w:rsid w:val="00E655A9"/>
    <w:rsid w:val="00E7538C"/>
    <w:rsid w:val="00E92E85"/>
    <w:rsid w:val="00EC0262"/>
    <w:rsid w:val="00EE041F"/>
    <w:rsid w:val="00EE124E"/>
    <w:rsid w:val="00EF522F"/>
    <w:rsid w:val="00F02E03"/>
    <w:rsid w:val="00F347D1"/>
    <w:rsid w:val="00F36F8A"/>
    <w:rsid w:val="00F57109"/>
    <w:rsid w:val="00F973CC"/>
    <w:rsid w:val="00FE59AA"/>
    <w:rsid w:val="01040491"/>
    <w:rsid w:val="019A51A2"/>
    <w:rsid w:val="01E14C74"/>
    <w:rsid w:val="03063278"/>
    <w:rsid w:val="030A6CC4"/>
    <w:rsid w:val="03534054"/>
    <w:rsid w:val="039245FF"/>
    <w:rsid w:val="03B741A6"/>
    <w:rsid w:val="04056D78"/>
    <w:rsid w:val="04480C9A"/>
    <w:rsid w:val="04B35A48"/>
    <w:rsid w:val="052C6D0F"/>
    <w:rsid w:val="0560524F"/>
    <w:rsid w:val="06565020"/>
    <w:rsid w:val="06AF04B5"/>
    <w:rsid w:val="06FB5FE9"/>
    <w:rsid w:val="07004E3F"/>
    <w:rsid w:val="07C317E3"/>
    <w:rsid w:val="07F218B8"/>
    <w:rsid w:val="08FA50E4"/>
    <w:rsid w:val="09306D58"/>
    <w:rsid w:val="0A841EE3"/>
    <w:rsid w:val="0B0F7CC2"/>
    <w:rsid w:val="0B232A8B"/>
    <w:rsid w:val="0B9B4146"/>
    <w:rsid w:val="0BBB4D78"/>
    <w:rsid w:val="0BF54BAC"/>
    <w:rsid w:val="0C1F6F59"/>
    <w:rsid w:val="0C3D613A"/>
    <w:rsid w:val="0D055522"/>
    <w:rsid w:val="0D340A62"/>
    <w:rsid w:val="0E086EB6"/>
    <w:rsid w:val="0E4A376B"/>
    <w:rsid w:val="0E5A7034"/>
    <w:rsid w:val="0F7970C5"/>
    <w:rsid w:val="103F46F8"/>
    <w:rsid w:val="1057555E"/>
    <w:rsid w:val="1103604D"/>
    <w:rsid w:val="113849FC"/>
    <w:rsid w:val="12072703"/>
    <w:rsid w:val="120F6995"/>
    <w:rsid w:val="121900F6"/>
    <w:rsid w:val="12273684"/>
    <w:rsid w:val="128731A2"/>
    <w:rsid w:val="12B61CE3"/>
    <w:rsid w:val="134D4C2A"/>
    <w:rsid w:val="13AA296D"/>
    <w:rsid w:val="140D51B8"/>
    <w:rsid w:val="143F4FBA"/>
    <w:rsid w:val="148909AB"/>
    <w:rsid w:val="14965D2C"/>
    <w:rsid w:val="15655FDB"/>
    <w:rsid w:val="15C95EAC"/>
    <w:rsid w:val="16AE2197"/>
    <w:rsid w:val="178F4B15"/>
    <w:rsid w:val="181D374D"/>
    <w:rsid w:val="1854746C"/>
    <w:rsid w:val="18754D08"/>
    <w:rsid w:val="18CD787A"/>
    <w:rsid w:val="19C4722D"/>
    <w:rsid w:val="1A723BEC"/>
    <w:rsid w:val="1A840757"/>
    <w:rsid w:val="1A9404AF"/>
    <w:rsid w:val="1AC92CDD"/>
    <w:rsid w:val="1B267FBB"/>
    <w:rsid w:val="1B28788F"/>
    <w:rsid w:val="1C534F2C"/>
    <w:rsid w:val="1C6358FA"/>
    <w:rsid w:val="1C6B1B74"/>
    <w:rsid w:val="1C6F0391"/>
    <w:rsid w:val="1C831373"/>
    <w:rsid w:val="1C95120A"/>
    <w:rsid w:val="1D7F52A1"/>
    <w:rsid w:val="1D9253FC"/>
    <w:rsid w:val="1DAC0DE0"/>
    <w:rsid w:val="1ED67EEF"/>
    <w:rsid w:val="205F1A94"/>
    <w:rsid w:val="209D0D1F"/>
    <w:rsid w:val="20F63F8C"/>
    <w:rsid w:val="21166359"/>
    <w:rsid w:val="22167D9E"/>
    <w:rsid w:val="228928AA"/>
    <w:rsid w:val="237A37EF"/>
    <w:rsid w:val="237A71B4"/>
    <w:rsid w:val="23D83435"/>
    <w:rsid w:val="24765ECC"/>
    <w:rsid w:val="24E835BA"/>
    <w:rsid w:val="25522192"/>
    <w:rsid w:val="257F09F3"/>
    <w:rsid w:val="262D3172"/>
    <w:rsid w:val="26362F40"/>
    <w:rsid w:val="264A6E50"/>
    <w:rsid w:val="26B97F35"/>
    <w:rsid w:val="28A854E3"/>
    <w:rsid w:val="29086556"/>
    <w:rsid w:val="29DD4051"/>
    <w:rsid w:val="2A11588C"/>
    <w:rsid w:val="2AE21E3E"/>
    <w:rsid w:val="2B14025B"/>
    <w:rsid w:val="2B55653E"/>
    <w:rsid w:val="2B7B1C5D"/>
    <w:rsid w:val="2C1B7B34"/>
    <w:rsid w:val="2C805733"/>
    <w:rsid w:val="2D0A0D44"/>
    <w:rsid w:val="2D4C680A"/>
    <w:rsid w:val="2E31358A"/>
    <w:rsid w:val="2E4D0C5C"/>
    <w:rsid w:val="2E6541F3"/>
    <w:rsid w:val="2EBB1067"/>
    <w:rsid w:val="2ECE6B7F"/>
    <w:rsid w:val="2F4B2EEA"/>
    <w:rsid w:val="2F8D77A4"/>
    <w:rsid w:val="2F9432ED"/>
    <w:rsid w:val="30085445"/>
    <w:rsid w:val="30AA4DB8"/>
    <w:rsid w:val="30B64182"/>
    <w:rsid w:val="30D33574"/>
    <w:rsid w:val="313E5F3B"/>
    <w:rsid w:val="31726A22"/>
    <w:rsid w:val="31A31F0E"/>
    <w:rsid w:val="31AA728F"/>
    <w:rsid w:val="31C2672A"/>
    <w:rsid w:val="321626E0"/>
    <w:rsid w:val="3300178C"/>
    <w:rsid w:val="33191B46"/>
    <w:rsid w:val="3374721B"/>
    <w:rsid w:val="339A736E"/>
    <w:rsid w:val="34191637"/>
    <w:rsid w:val="342800E7"/>
    <w:rsid w:val="343A0036"/>
    <w:rsid w:val="34A70C0E"/>
    <w:rsid w:val="34FB7D21"/>
    <w:rsid w:val="351F33BA"/>
    <w:rsid w:val="3554472E"/>
    <w:rsid w:val="35942BAE"/>
    <w:rsid w:val="365101D1"/>
    <w:rsid w:val="3677663C"/>
    <w:rsid w:val="37415CAC"/>
    <w:rsid w:val="381117A5"/>
    <w:rsid w:val="392860A5"/>
    <w:rsid w:val="39400042"/>
    <w:rsid w:val="3996413A"/>
    <w:rsid w:val="39DC02D9"/>
    <w:rsid w:val="3A583DAC"/>
    <w:rsid w:val="3BC77227"/>
    <w:rsid w:val="3C3601B1"/>
    <w:rsid w:val="3C3F3820"/>
    <w:rsid w:val="3C8816B8"/>
    <w:rsid w:val="3C8C1FD4"/>
    <w:rsid w:val="3CFF4EDC"/>
    <w:rsid w:val="3DBD16A6"/>
    <w:rsid w:val="3E15446A"/>
    <w:rsid w:val="3E4F1778"/>
    <w:rsid w:val="3E6F2FFC"/>
    <w:rsid w:val="3EAC29F0"/>
    <w:rsid w:val="3F6C1B91"/>
    <w:rsid w:val="402715D2"/>
    <w:rsid w:val="402E11A9"/>
    <w:rsid w:val="404C3957"/>
    <w:rsid w:val="40D2705F"/>
    <w:rsid w:val="41727207"/>
    <w:rsid w:val="419530AC"/>
    <w:rsid w:val="41FE7956"/>
    <w:rsid w:val="420E5BB2"/>
    <w:rsid w:val="426C09AE"/>
    <w:rsid w:val="428E1E1E"/>
    <w:rsid w:val="42AB597C"/>
    <w:rsid w:val="43454921"/>
    <w:rsid w:val="435D7E3B"/>
    <w:rsid w:val="43A81F54"/>
    <w:rsid w:val="43DB35C7"/>
    <w:rsid w:val="44171EB8"/>
    <w:rsid w:val="445C6678"/>
    <w:rsid w:val="4466717F"/>
    <w:rsid w:val="46113492"/>
    <w:rsid w:val="46160AA8"/>
    <w:rsid w:val="46CB53EF"/>
    <w:rsid w:val="47246558"/>
    <w:rsid w:val="47636093"/>
    <w:rsid w:val="483D231C"/>
    <w:rsid w:val="48C676C8"/>
    <w:rsid w:val="48F350D1"/>
    <w:rsid w:val="48FB7580"/>
    <w:rsid w:val="496A3210"/>
    <w:rsid w:val="4A274AE1"/>
    <w:rsid w:val="4B1B4384"/>
    <w:rsid w:val="4C3F7090"/>
    <w:rsid w:val="4C5D0394"/>
    <w:rsid w:val="4CD32F73"/>
    <w:rsid w:val="4CE17D3A"/>
    <w:rsid w:val="4DF27705"/>
    <w:rsid w:val="4E6D00A4"/>
    <w:rsid w:val="4E952EFB"/>
    <w:rsid w:val="4ED342C6"/>
    <w:rsid w:val="4ED35788"/>
    <w:rsid w:val="4EEA5829"/>
    <w:rsid w:val="4F0C0025"/>
    <w:rsid w:val="4F6374E7"/>
    <w:rsid w:val="50650662"/>
    <w:rsid w:val="50F41A5C"/>
    <w:rsid w:val="51371073"/>
    <w:rsid w:val="514364CA"/>
    <w:rsid w:val="51B32C63"/>
    <w:rsid w:val="52570430"/>
    <w:rsid w:val="52B00DD0"/>
    <w:rsid w:val="52C84CF1"/>
    <w:rsid w:val="52EF4B5B"/>
    <w:rsid w:val="538524B1"/>
    <w:rsid w:val="53DA04DF"/>
    <w:rsid w:val="53F869D6"/>
    <w:rsid w:val="54C67B47"/>
    <w:rsid w:val="54FA519D"/>
    <w:rsid w:val="55557653"/>
    <w:rsid w:val="556050B9"/>
    <w:rsid w:val="56397366"/>
    <w:rsid w:val="57281004"/>
    <w:rsid w:val="57304DAB"/>
    <w:rsid w:val="5A1347AA"/>
    <w:rsid w:val="5A1967E5"/>
    <w:rsid w:val="5A4F5DF0"/>
    <w:rsid w:val="5A8F5C43"/>
    <w:rsid w:val="5BDE6302"/>
    <w:rsid w:val="5CBC0CB4"/>
    <w:rsid w:val="5CD77B7E"/>
    <w:rsid w:val="5D123920"/>
    <w:rsid w:val="5D895D0E"/>
    <w:rsid w:val="5D960C75"/>
    <w:rsid w:val="5D9C4ECC"/>
    <w:rsid w:val="5DD55B0C"/>
    <w:rsid w:val="5EB24B3F"/>
    <w:rsid w:val="5ED85B5E"/>
    <w:rsid w:val="5F182AE5"/>
    <w:rsid w:val="5F4571D1"/>
    <w:rsid w:val="5F795DBC"/>
    <w:rsid w:val="5F823C63"/>
    <w:rsid w:val="5F990BD6"/>
    <w:rsid w:val="5FA637E4"/>
    <w:rsid w:val="5FDF7999"/>
    <w:rsid w:val="600C211B"/>
    <w:rsid w:val="608B0E8A"/>
    <w:rsid w:val="60CB5228"/>
    <w:rsid w:val="611E59B8"/>
    <w:rsid w:val="618A4FEF"/>
    <w:rsid w:val="61DE64C6"/>
    <w:rsid w:val="61E71335"/>
    <w:rsid w:val="61F34D86"/>
    <w:rsid w:val="63ED3FAF"/>
    <w:rsid w:val="644C3BE1"/>
    <w:rsid w:val="663C349D"/>
    <w:rsid w:val="66BB0B84"/>
    <w:rsid w:val="66D93DC0"/>
    <w:rsid w:val="670E25DC"/>
    <w:rsid w:val="673F3508"/>
    <w:rsid w:val="683339B7"/>
    <w:rsid w:val="691173C3"/>
    <w:rsid w:val="6968417C"/>
    <w:rsid w:val="698A2433"/>
    <w:rsid w:val="6A2E67B2"/>
    <w:rsid w:val="6A5D6E02"/>
    <w:rsid w:val="6C733CAF"/>
    <w:rsid w:val="6DF516CA"/>
    <w:rsid w:val="6E600263"/>
    <w:rsid w:val="6E966C8C"/>
    <w:rsid w:val="6F450EF4"/>
    <w:rsid w:val="6F6618A9"/>
    <w:rsid w:val="6FE72062"/>
    <w:rsid w:val="7069620E"/>
    <w:rsid w:val="70833B2D"/>
    <w:rsid w:val="70CE7DFB"/>
    <w:rsid w:val="70F51CE5"/>
    <w:rsid w:val="714A045E"/>
    <w:rsid w:val="71C80A09"/>
    <w:rsid w:val="723743F1"/>
    <w:rsid w:val="723D23A3"/>
    <w:rsid w:val="73034F50"/>
    <w:rsid w:val="73E67EAB"/>
    <w:rsid w:val="7408625E"/>
    <w:rsid w:val="740E67E4"/>
    <w:rsid w:val="74763835"/>
    <w:rsid w:val="75024374"/>
    <w:rsid w:val="75B72E5F"/>
    <w:rsid w:val="777059BB"/>
    <w:rsid w:val="77A466DF"/>
    <w:rsid w:val="787A66CA"/>
    <w:rsid w:val="78A50325"/>
    <w:rsid w:val="78F2568E"/>
    <w:rsid w:val="78F7027F"/>
    <w:rsid w:val="79F33E31"/>
    <w:rsid w:val="7A2732F6"/>
    <w:rsid w:val="7A5017FD"/>
    <w:rsid w:val="7A540C7C"/>
    <w:rsid w:val="7A937132"/>
    <w:rsid w:val="7B4A452A"/>
    <w:rsid w:val="7B695925"/>
    <w:rsid w:val="7C040CC6"/>
    <w:rsid w:val="7C4D5D43"/>
    <w:rsid w:val="7C9240D2"/>
    <w:rsid w:val="7D2863F0"/>
    <w:rsid w:val="7D9B7DA9"/>
    <w:rsid w:val="7DF422D8"/>
    <w:rsid w:val="7E7D0CAB"/>
    <w:rsid w:val="7EB4296F"/>
    <w:rsid w:val="7EE813DB"/>
    <w:rsid w:val="7FD24BCE"/>
    <w:rsid w:val="7FEF41AD"/>
    <w:rsid w:val="ECF5CD20"/>
    <w:rsid w:val="FBFBB62A"/>
    <w:rsid w:val="FFFDC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84"/>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6">
    <w:name w:val="heading 2"/>
    <w:basedOn w:val="1"/>
    <w:next w:val="1"/>
    <w:link w:val="85"/>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link w:val="7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link w:val="77"/>
    <w:qFormat/>
    <w:uiPriority w:val="0"/>
    <w:pPr>
      <w:keepNext/>
      <w:keepLines/>
      <w:spacing w:before="280" w:after="290" w:line="376" w:lineRule="auto"/>
      <w:outlineLvl w:val="3"/>
    </w:pPr>
    <w:rPr>
      <w:rFonts w:ascii="Arial" w:hAnsi="Arial" w:eastAsia="黑体" w:cs="Times New Roman"/>
      <w:b/>
      <w:bCs/>
      <w:sz w:val="28"/>
      <w:szCs w:val="28"/>
    </w:rPr>
  </w:style>
  <w:style w:type="paragraph" w:styleId="9">
    <w:name w:val="heading 5"/>
    <w:basedOn w:val="1"/>
    <w:next w:val="1"/>
    <w:link w:val="78"/>
    <w:qFormat/>
    <w:uiPriority w:val="0"/>
    <w:pPr>
      <w:keepNext/>
      <w:keepLines/>
      <w:spacing w:before="280" w:after="290" w:line="374" w:lineRule="auto"/>
      <w:outlineLvl w:val="4"/>
    </w:pPr>
    <w:rPr>
      <w:rFonts w:ascii="Times New Roman" w:hAnsi="Times New Roman" w:eastAsia="宋体" w:cs="Times New Roman"/>
      <w:b/>
      <w:bCs/>
      <w:sz w:val="28"/>
      <w:szCs w:val="28"/>
    </w:rPr>
  </w:style>
  <w:style w:type="paragraph" w:styleId="10">
    <w:name w:val="heading 6"/>
    <w:basedOn w:val="1"/>
    <w:next w:val="1"/>
    <w:link w:val="79"/>
    <w:qFormat/>
    <w:uiPriority w:val="0"/>
    <w:pPr>
      <w:keepNext/>
      <w:keepLines/>
      <w:widowControl/>
      <w:tabs>
        <w:tab w:val="left" w:pos="1440"/>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11">
    <w:name w:val="heading 7"/>
    <w:basedOn w:val="1"/>
    <w:next w:val="1"/>
    <w:link w:val="80"/>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cs="Times New Roman"/>
      <w:b/>
      <w:bCs/>
      <w:kern w:val="0"/>
      <w:sz w:val="24"/>
      <w:szCs w:val="24"/>
    </w:rPr>
  </w:style>
  <w:style w:type="paragraph" w:styleId="12">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3">
    <w:name w:val="heading 9"/>
    <w:basedOn w:val="1"/>
    <w:next w:val="1"/>
    <w:link w:val="82"/>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3">
    <w:name w:val="正文_3"/>
    <w:next w:val="4"/>
    <w:qFormat/>
    <w:uiPriority w:val="0"/>
    <w:pPr>
      <w:widowControl w:val="0"/>
      <w:jc w:val="both"/>
    </w:pPr>
    <w:rPr>
      <w:rFonts w:ascii="Calibri" w:hAnsi="Calibri" w:eastAsia="宋体" w:cs="Calibri"/>
      <w:kern w:val="2"/>
      <w:sz w:val="21"/>
      <w:szCs w:val="21"/>
      <w:lang w:val="en-US" w:eastAsia="zh-CN" w:bidi="ar-SA"/>
    </w:rPr>
  </w:style>
  <w:style w:type="paragraph" w:customStyle="1" w:styleId="4">
    <w:name w:val="正文缩进_2"/>
    <w:basedOn w:val="5"/>
    <w:next w:val="3"/>
    <w:qFormat/>
    <w:uiPriority w:val="0"/>
    <w:pPr>
      <w:ind w:firstLine="420" w:firstLineChars="200"/>
    </w:pPr>
    <w:rPr>
      <w:rFonts w:ascii="Calibri" w:hAnsi="Calibri" w:eastAsia="宋体" w:cs="Times New Roman"/>
      <w:szCs w:val="24"/>
    </w:rPr>
  </w:style>
  <w:style w:type="paragraph" w:customStyle="1" w:styleId="5">
    <w:name w:val="正文_16"/>
    <w:qFormat/>
    <w:uiPriority w:val="0"/>
    <w:pPr>
      <w:widowControl w:val="0"/>
      <w:jc w:val="both"/>
    </w:pPr>
    <w:rPr>
      <w:rFonts w:ascii="等线" w:hAnsi="等线" w:eastAsia="等线" w:cs="等线"/>
      <w:kern w:val="2"/>
      <w:sz w:val="21"/>
      <w:szCs w:val="22"/>
      <w:lang w:val="en-US" w:eastAsia="zh-CN" w:bidi="ar-SA"/>
    </w:rPr>
  </w:style>
  <w:style w:type="paragraph" w:styleId="14">
    <w:name w:val="toc 7"/>
    <w:basedOn w:val="1"/>
    <w:next w:val="1"/>
    <w:qFormat/>
    <w:uiPriority w:val="39"/>
    <w:pPr>
      <w:ind w:left="1050"/>
      <w:jc w:val="left"/>
    </w:pPr>
    <w:rPr>
      <w:rFonts w:ascii="Times New Roman" w:hAnsi="Times New Roman" w:eastAsia="宋体" w:cs="Times New Roman"/>
      <w:sz w:val="20"/>
      <w:szCs w:val="20"/>
    </w:rPr>
  </w:style>
  <w:style w:type="paragraph" w:styleId="15">
    <w:name w:val="Normal Indent"/>
    <w:basedOn w:val="1"/>
    <w:next w:val="1"/>
    <w:link w:val="83"/>
    <w:qFormat/>
    <w:uiPriority w:val="0"/>
    <w:pPr>
      <w:ind w:firstLine="420"/>
    </w:pPr>
    <w:rPr>
      <w:rFonts w:ascii="Times New Roman" w:hAnsi="Times New Roman" w:eastAsia="宋体" w:cs="Times New Roman"/>
      <w:szCs w:val="24"/>
    </w:rPr>
  </w:style>
  <w:style w:type="paragraph" w:styleId="16">
    <w:name w:val="caption"/>
    <w:basedOn w:val="1"/>
    <w:next w:val="1"/>
    <w:qFormat/>
    <w:uiPriority w:val="0"/>
    <w:rPr>
      <w:rFonts w:ascii="Cambria" w:hAnsi="Cambria" w:eastAsia="黑体" w:cs="Times New Roman"/>
      <w:kern w:val="0"/>
      <w:sz w:val="20"/>
      <w:szCs w:val="20"/>
    </w:rPr>
  </w:style>
  <w:style w:type="paragraph" w:styleId="17">
    <w:name w:val="List Bullet"/>
    <w:basedOn w:val="1"/>
    <w:qFormat/>
    <w:uiPriority w:val="0"/>
    <w:pPr>
      <w:tabs>
        <w:tab w:val="left" w:pos="720"/>
      </w:tabs>
      <w:ind w:left="720" w:hanging="720"/>
    </w:pPr>
    <w:rPr>
      <w:rFonts w:ascii="Times New Roman" w:hAnsi="Times New Roman" w:eastAsia="宋体" w:cs="Times New Roman"/>
      <w:szCs w:val="24"/>
    </w:rPr>
  </w:style>
  <w:style w:type="paragraph" w:styleId="18">
    <w:name w:val="Document Map"/>
    <w:basedOn w:val="1"/>
    <w:link w:val="86"/>
    <w:qFormat/>
    <w:uiPriority w:val="0"/>
    <w:pPr>
      <w:shd w:val="clear" w:color="auto" w:fill="000080"/>
    </w:pPr>
    <w:rPr>
      <w:rFonts w:ascii="Times New Roman" w:hAnsi="Times New Roman" w:eastAsia="宋体" w:cs="Times New Roman"/>
      <w:szCs w:val="24"/>
    </w:rPr>
  </w:style>
  <w:style w:type="paragraph" w:styleId="19">
    <w:name w:val="annotation text"/>
    <w:basedOn w:val="1"/>
    <w:link w:val="88"/>
    <w:qFormat/>
    <w:uiPriority w:val="0"/>
    <w:pPr>
      <w:jc w:val="left"/>
    </w:pPr>
    <w:rPr>
      <w:rFonts w:ascii="Times New Roman" w:hAnsi="Times New Roman" w:eastAsia="宋体" w:cs="Times New Roman"/>
      <w:szCs w:val="24"/>
    </w:rPr>
  </w:style>
  <w:style w:type="paragraph" w:styleId="20">
    <w:name w:val="Salutation"/>
    <w:basedOn w:val="1"/>
    <w:next w:val="1"/>
    <w:link w:val="89"/>
    <w:qFormat/>
    <w:uiPriority w:val="0"/>
    <w:rPr>
      <w:rFonts w:ascii="Times New Roman" w:hAnsi="Times New Roman" w:eastAsia="宋体" w:cs="Times New Roman"/>
      <w:szCs w:val="24"/>
    </w:rPr>
  </w:style>
  <w:style w:type="paragraph" w:styleId="21">
    <w:name w:val="Body Text 3"/>
    <w:basedOn w:val="1"/>
    <w:link w:val="90"/>
    <w:qFormat/>
    <w:uiPriority w:val="0"/>
    <w:pPr>
      <w:spacing w:line="360" w:lineRule="auto"/>
      <w:jc w:val="center"/>
    </w:pPr>
    <w:rPr>
      <w:rFonts w:ascii="Times New Roman" w:hAnsi="Times New Roman" w:eastAsia="黑体" w:cs="Times New Roman"/>
      <w:b/>
      <w:bCs/>
      <w:sz w:val="24"/>
      <w:szCs w:val="20"/>
    </w:rPr>
  </w:style>
  <w:style w:type="paragraph" w:styleId="22">
    <w:name w:val="Body Text"/>
    <w:basedOn w:val="1"/>
    <w:link w:val="92"/>
    <w:qFormat/>
    <w:uiPriority w:val="0"/>
    <w:pPr>
      <w:tabs>
        <w:tab w:val="left" w:pos="0"/>
      </w:tabs>
    </w:pPr>
    <w:rPr>
      <w:rFonts w:ascii="Times New Roman" w:hAnsi="Times New Roman" w:eastAsia="宋体" w:cs="Times New Roman"/>
      <w:color w:val="0000FF"/>
      <w:szCs w:val="24"/>
    </w:rPr>
  </w:style>
  <w:style w:type="paragraph" w:styleId="23">
    <w:name w:val="Body Text Indent"/>
    <w:basedOn w:val="1"/>
    <w:link w:val="94"/>
    <w:qFormat/>
    <w:uiPriority w:val="0"/>
    <w:pPr>
      <w:ind w:firstLine="480" w:firstLineChars="200"/>
    </w:pPr>
    <w:rPr>
      <w:rFonts w:ascii="宋体" w:hAnsi="宋体" w:eastAsia="宋体" w:cs="Times New Roman"/>
      <w:sz w:val="24"/>
      <w:szCs w:val="24"/>
    </w:rPr>
  </w:style>
  <w:style w:type="paragraph" w:styleId="24">
    <w:name w:val="Block Text"/>
    <w:basedOn w:val="1"/>
    <w:next w:val="1"/>
    <w:link w:val="95"/>
    <w:qFormat/>
    <w:uiPriority w:val="0"/>
    <w:rPr>
      <w:rFonts w:ascii="Times New Roman" w:hAnsi="Times New Roman" w:eastAsia="宋体" w:cs="Times New Roman"/>
      <w:i/>
      <w:iCs/>
      <w:color w:val="000000"/>
    </w:rPr>
  </w:style>
  <w:style w:type="paragraph" w:styleId="25">
    <w:name w:val="List Bullet 2"/>
    <w:basedOn w:val="17"/>
    <w:qFormat/>
    <w:uiPriority w:val="0"/>
    <w:pPr>
      <w:widowControl/>
      <w:tabs>
        <w:tab w:val="left" w:pos="660"/>
        <w:tab w:val="clear" w:pos="720"/>
      </w:tabs>
      <w:spacing w:after="220" w:line="220" w:lineRule="atLeast"/>
      <w:ind w:left="2160" w:right="720" w:hanging="660"/>
      <w:jc w:val="left"/>
    </w:pPr>
    <w:rPr>
      <w:kern w:val="0"/>
      <w:szCs w:val="20"/>
    </w:rPr>
  </w:style>
  <w:style w:type="paragraph" w:styleId="26">
    <w:name w:val="index 4"/>
    <w:basedOn w:val="1"/>
    <w:next w:val="1"/>
    <w:qFormat/>
    <w:uiPriority w:val="0"/>
    <w:pPr>
      <w:ind w:left="600" w:leftChars="600"/>
    </w:pPr>
    <w:rPr>
      <w:rFonts w:ascii="宋体" w:hAnsi="Times New Roman" w:eastAsia="宋体" w:cs="Times New Roman"/>
      <w:kern w:val="0"/>
      <w:sz w:val="34"/>
      <w:szCs w:val="20"/>
    </w:rPr>
  </w:style>
  <w:style w:type="paragraph" w:styleId="27">
    <w:name w:val="toc 5"/>
    <w:basedOn w:val="1"/>
    <w:next w:val="1"/>
    <w:qFormat/>
    <w:uiPriority w:val="39"/>
    <w:pPr>
      <w:ind w:left="630"/>
      <w:jc w:val="left"/>
    </w:pPr>
    <w:rPr>
      <w:rFonts w:ascii="Times New Roman" w:hAnsi="Times New Roman" w:eastAsia="宋体" w:cs="Times New Roman"/>
      <w:sz w:val="20"/>
      <w:szCs w:val="20"/>
    </w:rPr>
  </w:style>
  <w:style w:type="paragraph" w:styleId="28">
    <w:name w:val="toc 3"/>
    <w:basedOn w:val="1"/>
    <w:next w:val="1"/>
    <w:qFormat/>
    <w:uiPriority w:val="39"/>
    <w:pPr>
      <w:ind w:left="840" w:leftChars="400"/>
    </w:pPr>
    <w:rPr>
      <w:rFonts w:ascii="Times New Roman" w:hAnsi="Times New Roman" w:eastAsia="宋体" w:cs="Times New Roman"/>
      <w:szCs w:val="24"/>
    </w:rPr>
  </w:style>
  <w:style w:type="paragraph" w:styleId="29">
    <w:name w:val="Plain Text"/>
    <w:basedOn w:val="1"/>
    <w:link w:val="97"/>
    <w:qFormat/>
    <w:uiPriority w:val="0"/>
    <w:rPr>
      <w:rFonts w:ascii="宋体" w:hAnsi="Courier New" w:eastAsia="宋体" w:cs="Times New Roman"/>
      <w:szCs w:val="20"/>
    </w:rPr>
  </w:style>
  <w:style w:type="paragraph" w:styleId="30">
    <w:name w:val="toc 8"/>
    <w:basedOn w:val="1"/>
    <w:next w:val="1"/>
    <w:qFormat/>
    <w:uiPriority w:val="39"/>
    <w:pPr>
      <w:ind w:left="1260"/>
      <w:jc w:val="left"/>
    </w:pPr>
    <w:rPr>
      <w:rFonts w:ascii="Times New Roman" w:hAnsi="Times New Roman" w:eastAsia="宋体" w:cs="Times New Roman"/>
      <w:sz w:val="20"/>
      <w:szCs w:val="20"/>
    </w:rPr>
  </w:style>
  <w:style w:type="paragraph" w:styleId="31">
    <w:name w:val="Date"/>
    <w:basedOn w:val="1"/>
    <w:next w:val="1"/>
    <w:link w:val="98"/>
    <w:qFormat/>
    <w:uiPriority w:val="0"/>
    <w:pPr>
      <w:ind w:left="100" w:leftChars="2500"/>
    </w:pPr>
    <w:rPr>
      <w:rFonts w:ascii="Times New Roman" w:hAnsi="Times New Roman" w:eastAsia="宋体" w:cs="Times New Roman"/>
      <w:szCs w:val="24"/>
    </w:rPr>
  </w:style>
  <w:style w:type="paragraph" w:styleId="32">
    <w:name w:val="Body Text Indent 2"/>
    <w:basedOn w:val="1"/>
    <w:link w:val="99"/>
    <w:qFormat/>
    <w:uiPriority w:val="0"/>
    <w:pPr>
      <w:ind w:firstLine="435"/>
      <w:jc w:val="left"/>
    </w:pPr>
    <w:rPr>
      <w:rFonts w:ascii="Times New Roman" w:hAnsi="Times New Roman" w:eastAsia="宋体" w:cs="Times New Roman"/>
      <w:sz w:val="24"/>
      <w:szCs w:val="24"/>
    </w:rPr>
  </w:style>
  <w:style w:type="paragraph" w:styleId="33">
    <w:name w:val="Balloon Text"/>
    <w:basedOn w:val="1"/>
    <w:link w:val="100"/>
    <w:qFormat/>
    <w:uiPriority w:val="0"/>
    <w:rPr>
      <w:rFonts w:ascii="Times New Roman" w:hAnsi="Times New Roman" w:eastAsia="宋体" w:cs="Times New Roman"/>
      <w:sz w:val="18"/>
      <w:szCs w:val="18"/>
    </w:rPr>
  </w:style>
  <w:style w:type="paragraph" w:styleId="34">
    <w:name w:val="footer"/>
    <w:basedOn w:val="1"/>
    <w:link w:val="10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5">
    <w:name w:val="header"/>
    <w:basedOn w:val="1"/>
    <w:link w:val="10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6">
    <w:name w:val="toc 1"/>
    <w:basedOn w:val="1"/>
    <w:next w:val="1"/>
    <w:qFormat/>
    <w:uiPriority w:val="39"/>
    <w:rPr>
      <w:rFonts w:ascii="Times New Roman" w:hAnsi="Times New Roman" w:eastAsia="宋体" w:cs="Times New Roman"/>
      <w:szCs w:val="24"/>
    </w:rPr>
  </w:style>
  <w:style w:type="paragraph" w:styleId="37">
    <w:name w:val="toc 4"/>
    <w:basedOn w:val="1"/>
    <w:next w:val="1"/>
    <w:qFormat/>
    <w:uiPriority w:val="39"/>
    <w:pPr>
      <w:ind w:left="420"/>
      <w:jc w:val="left"/>
    </w:pPr>
    <w:rPr>
      <w:rFonts w:ascii="Times New Roman" w:hAnsi="Times New Roman" w:eastAsia="宋体" w:cs="Times New Roman"/>
      <w:sz w:val="20"/>
      <w:szCs w:val="20"/>
    </w:rPr>
  </w:style>
  <w:style w:type="paragraph" w:styleId="38">
    <w:name w:val="Subtitle"/>
    <w:basedOn w:val="1"/>
    <w:next w:val="1"/>
    <w:link w:val="10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9">
    <w:name w:val="toc 6"/>
    <w:basedOn w:val="1"/>
    <w:next w:val="1"/>
    <w:qFormat/>
    <w:uiPriority w:val="39"/>
    <w:pPr>
      <w:ind w:left="840"/>
      <w:jc w:val="left"/>
    </w:pPr>
    <w:rPr>
      <w:rFonts w:ascii="Times New Roman" w:hAnsi="Times New Roman" w:eastAsia="宋体" w:cs="Times New Roman"/>
      <w:sz w:val="20"/>
      <w:szCs w:val="20"/>
    </w:rPr>
  </w:style>
  <w:style w:type="paragraph" w:styleId="40">
    <w:name w:val="Body Text Indent 3"/>
    <w:basedOn w:val="1"/>
    <w:link w:val="104"/>
    <w:qFormat/>
    <w:uiPriority w:val="0"/>
    <w:pPr>
      <w:spacing w:after="156" w:afterLines="50" w:line="400" w:lineRule="exact"/>
      <w:ind w:firstLine="480" w:firstLineChars="200"/>
    </w:pPr>
    <w:rPr>
      <w:rFonts w:ascii="宋体" w:hAnsi="宋体" w:eastAsia="宋体" w:cs="Times New Roman"/>
      <w:color w:val="000000"/>
      <w:sz w:val="24"/>
      <w:szCs w:val="21"/>
    </w:rPr>
  </w:style>
  <w:style w:type="paragraph" w:styleId="41">
    <w:name w:val="toc 2"/>
    <w:basedOn w:val="1"/>
    <w:next w:val="1"/>
    <w:qFormat/>
    <w:uiPriority w:val="39"/>
    <w:pPr>
      <w:tabs>
        <w:tab w:val="right" w:leader="dot" w:pos="8296"/>
      </w:tabs>
      <w:spacing w:line="440" w:lineRule="exact"/>
      <w:ind w:left="420" w:leftChars="200"/>
    </w:pPr>
    <w:rPr>
      <w:rFonts w:ascii="Times New Roman" w:hAnsi="Times New Roman" w:eastAsia="宋体" w:cs="Times New Roman"/>
      <w:szCs w:val="24"/>
    </w:rPr>
  </w:style>
  <w:style w:type="paragraph" w:styleId="42">
    <w:name w:val="toc 9"/>
    <w:basedOn w:val="1"/>
    <w:next w:val="1"/>
    <w:qFormat/>
    <w:uiPriority w:val="39"/>
    <w:pPr>
      <w:ind w:left="1470"/>
      <w:jc w:val="left"/>
    </w:pPr>
    <w:rPr>
      <w:rFonts w:ascii="Times New Roman" w:hAnsi="Times New Roman" w:eastAsia="宋体" w:cs="Times New Roman"/>
      <w:sz w:val="20"/>
      <w:szCs w:val="20"/>
    </w:rPr>
  </w:style>
  <w:style w:type="paragraph" w:styleId="43">
    <w:name w:val="Body Text 2"/>
    <w:basedOn w:val="44"/>
    <w:link w:val="105"/>
    <w:qFormat/>
    <w:uiPriority w:val="0"/>
    <w:pPr>
      <w:spacing w:after="120" w:line="480" w:lineRule="auto"/>
    </w:pPr>
    <w:rPr>
      <w:rFonts w:ascii="Times New Roman" w:hAnsi="Times New Roman" w:cs="Times New Roman"/>
      <w:szCs w:val="24"/>
    </w:rPr>
  </w:style>
  <w:style w:type="paragraph" w:customStyle="1" w:styleId="44">
    <w:name w:val="正文_5"/>
    <w:basedOn w:val="45"/>
    <w:next w:val="54"/>
    <w:qFormat/>
    <w:uiPriority w:val="0"/>
  </w:style>
  <w:style w:type="paragraph" w:customStyle="1" w:styleId="45">
    <w:name w:val="正文_6"/>
    <w:basedOn w:val="46"/>
    <w:next w:val="52"/>
    <w:qFormat/>
    <w:uiPriority w:val="0"/>
  </w:style>
  <w:style w:type="paragraph" w:customStyle="1" w:styleId="46">
    <w:name w:val="正文_7"/>
    <w:basedOn w:val="47"/>
    <w:next w:val="50"/>
    <w:qFormat/>
    <w:uiPriority w:val="0"/>
    <w:rPr>
      <w:rFonts w:ascii="Calibri" w:hAnsi="Calibri" w:cs="Calibri"/>
      <w:szCs w:val="22"/>
    </w:rPr>
  </w:style>
  <w:style w:type="paragraph" w:customStyle="1" w:styleId="47">
    <w:name w:val="正文_0_0"/>
    <w:basedOn w:val="48"/>
    <w:next w:val="49"/>
    <w:qFormat/>
    <w:uiPriority w:val="0"/>
    <w:rPr>
      <w:szCs w:val="24"/>
    </w:rPr>
  </w:style>
  <w:style w:type="paragraph" w:customStyle="1" w:styleId="4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 Indent1"/>
    <w:basedOn w:val="47"/>
    <w:qFormat/>
    <w:uiPriority w:val="0"/>
    <w:pPr>
      <w:ind w:firstLine="420" w:firstLineChars="200"/>
    </w:pPr>
    <w:rPr>
      <w:rFonts w:ascii="等线" w:hAnsi="等线" w:eastAsia="等线"/>
    </w:rPr>
  </w:style>
  <w:style w:type="paragraph" w:customStyle="1" w:styleId="50">
    <w:name w:val="纯文本_5"/>
    <w:basedOn w:val="51"/>
    <w:qFormat/>
    <w:uiPriority w:val="0"/>
    <w:rPr>
      <w:rFonts w:ascii="Cambria" w:hAnsi="Cambria" w:cs="宋体"/>
      <w:b/>
      <w:bCs/>
      <w:kern w:val="28"/>
      <w:sz w:val="32"/>
      <w:szCs w:val="32"/>
    </w:rPr>
  </w:style>
  <w:style w:type="paragraph" w:customStyle="1" w:styleId="51">
    <w:name w:val="正文_8"/>
    <w:next w:val="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标题 3_1"/>
    <w:basedOn w:val="53"/>
    <w:next w:val="45"/>
    <w:link w:val="532"/>
    <w:unhideWhenUsed/>
    <w:qFormat/>
    <w:uiPriority w:val="0"/>
    <w:pPr>
      <w:keepNext/>
      <w:keepLines/>
      <w:spacing w:before="260" w:after="260" w:line="416" w:lineRule="auto"/>
      <w:outlineLvl w:val="2"/>
    </w:pPr>
    <w:rPr>
      <w:b/>
      <w:bCs/>
      <w:sz w:val="32"/>
      <w:szCs w:val="32"/>
    </w:rPr>
  </w:style>
  <w:style w:type="paragraph" w:customStyle="1" w:styleId="53">
    <w:name w:val="正文_7_0"/>
    <w:qFormat/>
    <w:uiPriority w:val="0"/>
    <w:pPr>
      <w:widowControl w:val="0"/>
      <w:jc w:val="both"/>
    </w:pPr>
    <w:rPr>
      <w:rFonts w:ascii="等线" w:hAnsi="等线" w:eastAsia="等线" w:cs="Times New Roman"/>
      <w:kern w:val="2"/>
      <w:sz w:val="21"/>
      <w:szCs w:val="22"/>
      <w:lang w:val="en-US" w:eastAsia="zh-CN" w:bidi="ar-SA"/>
    </w:rPr>
  </w:style>
  <w:style w:type="paragraph" w:customStyle="1" w:styleId="54">
    <w:name w:val="Normal Indent1_0"/>
    <w:basedOn w:val="44"/>
    <w:qFormat/>
    <w:uiPriority w:val="0"/>
    <w:pPr>
      <w:ind w:firstLine="420" w:firstLineChars="200"/>
    </w:pPr>
  </w:style>
  <w:style w:type="paragraph" w:styleId="5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56">
    <w:name w:val="index 1"/>
    <w:basedOn w:val="1"/>
    <w:next w:val="1"/>
    <w:qFormat/>
    <w:uiPriority w:val="0"/>
    <w:pPr>
      <w:widowControl/>
      <w:spacing w:line="360" w:lineRule="auto"/>
    </w:pPr>
    <w:rPr>
      <w:rFonts w:ascii="宋体" w:hAnsi="宋体" w:eastAsia="宋体" w:cs="Times New Roman"/>
      <w:kern w:val="0"/>
      <w:sz w:val="24"/>
      <w:szCs w:val="24"/>
    </w:rPr>
  </w:style>
  <w:style w:type="paragraph" w:styleId="57">
    <w:name w:val="Title"/>
    <w:basedOn w:val="1"/>
    <w:link w:val="106"/>
    <w:qFormat/>
    <w:uiPriority w:val="0"/>
    <w:pPr>
      <w:spacing w:before="120" w:after="60"/>
      <w:jc w:val="center"/>
    </w:pPr>
    <w:rPr>
      <w:rFonts w:ascii="Arial" w:hAnsi="Arial" w:eastAsia="宋体" w:cs="Times New Roman"/>
      <w:b/>
      <w:sz w:val="44"/>
      <w:szCs w:val="20"/>
    </w:rPr>
  </w:style>
  <w:style w:type="paragraph" w:styleId="58">
    <w:name w:val="annotation subject"/>
    <w:basedOn w:val="19"/>
    <w:next w:val="19"/>
    <w:link w:val="107"/>
    <w:qFormat/>
    <w:uiPriority w:val="0"/>
    <w:rPr>
      <w:b/>
      <w:bCs/>
    </w:rPr>
  </w:style>
  <w:style w:type="paragraph" w:styleId="59">
    <w:name w:val="Body Text First Indent"/>
    <w:basedOn w:val="22"/>
    <w:link w:val="108"/>
    <w:qFormat/>
    <w:uiPriority w:val="0"/>
    <w:pPr>
      <w:spacing w:after="120"/>
      <w:ind w:firstLine="420" w:firstLineChars="100"/>
    </w:pPr>
    <w:rPr>
      <w:rFonts w:ascii="宋体"/>
      <w:szCs w:val="20"/>
    </w:rPr>
  </w:style>
  <w:style w:type="paragraph" w:styleId="60">
    <w:name w:val="Body Text First Indent 2"/>
    <w:basedOn w:val="23"/>
    <w:link w:val="109"/>
    <w:qFormat/>
    <w:uiPriority w:val="0"/>
    <w:pPr>
      <w:spacing w:after="120"/>
      <w:ind w:left="420" w:leftChars="200" w:firstLine="420"/>
    </w:pPr>
    <w:rPr>
      <w:rFonts w:ascii="Times New Roman" w:hAnsi="Times New Roman"/>
      <w:kern w:val="0"/>
    </w:r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bCs/>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rFonts w:eastAsia="宋体"/>
      <w:i/>
      <w:iCs/>
      <w:kern w:val="2"/>
      <w:sz w:val="24"/>
      <w:szCs w:val="24"/>
      <w:lang w:val="en-US" w:eastAsia="zh-CN" w:bidi="ar-SA"/>
    </w:rPr>
  </w:style>
  <w:style w:type="character" w:styleId="68">
    <w:name w:val="Hyperlink"/>
    <w:basedOn w:val="63"/>
    <w:unhideWhenUsed/>
    <w:qFormat/>
    <w:uiPriority w:val="99"/>
    <w:rPr>
      <w:color w:val="0000FF" w:themeColor="hyperlink"/>
      <w:u w:val="single"/>
      <w14:textFill>
        <w14:solidFill>
          <w14:schemeClr w14:val="hlink"/>
        </w14:solidFill>
      </w14:textFill>
    </w:rPr>
  </w:style>
  <w:style w:type="character" w:styleId="69">
    <w:name w:val="annotation reference"/>
    <w:qFormat/>
    <w:uiPriority w:val="0"/>
    <w:rPr>
      <w:sz w:val="21"/>
      <w:szCs w:val="21"/>
    </w:rPr>
  </w:style>
  <w:style w:type="paragraph" w:customStyle="1" w:styleId="70">
    <w:name w:val="纯文本_0"/>
    <w:basedOn w:val="71"/>
    <w:qFormat/>
    <w:uiPriority w:val="99"/>
    <w:rPr>
      <w:rFonts w:ascii="Cambria" w:hAnsi="Cambria" w:cs="宋体"/>
      <w:b/>
      <w:bCs/>
      <w:kern w:val="28"/>
      <w:sz w:val="32"/>
      <w:szCs w:val="32"/>
    </w:rPr>
  </w:style>
  <w:style w:type="paragraph" w:customStyle="1" w:styleId="7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_3"/>
    <w:basedOn w:val="3"/>
    <w:qFormat/>
    <w:uiPriority w:val="0"/>
    <w:pPr>
      <w:spacing w:after="120"/>
    </w:pPr>
    <w:rPr>
      <w:rFonts w:ascii="Times New Roman" w:hAnsi="Times New Roman" w:cs="Times New Roman"/>
    </w:rPr>
  </w:style>
  <w:style w:type="paragraph" w:customStyle="1" w:styleId="73">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character" w:customStyle="1" w:styleId="74">
    <w:name w:val="标题 1 Char"/>
    <w:basedOn w:val="63"/>
    <w:qFormat/>
    <w:uiPriority w:val="0"/>
    <w:rPr>
      <w:b/>
      <w:bCs/>
      <w:kern w:val="44"/>
      <w:sz w:val="44"/>
      <w:szCs w:val="44"/>
    </w:rPr>
  </w:style>
  <w:style w:type="character" w:customStyle="1" w:styleId="75">
    <w:name w:val="标题 2 Char"/>
    <w:basedOn w:val="63"/>
    <w:qFormat/>
    <w:uiPriority w:val="0"/>
    <w:rPr>
      <w:rFonts w:asciiTheme="majorHAnsi" w:hAnsiTheme="majorHAnsi" w:eastAsiaTheme="majorEastAsia" w:cstheme="majorBidi"/>
      <w:b/>
      <w:bCs/>
      <w:sz w:val="32"/>
      <w:szCs w:val="32"/>
    </w:rPr>
  </w:style>
  <w:style w:type="character" w:customStyle="1" w:styleId="76">
    <w:name w:val="标题 3 Char"/>
    <w:basedOn w:val="63"/>
    <w:link w:val="7"/>
    <w:qFormat/>
    <w:uiPriority w:val="0"/>
    <w:rPr>
      <w:rFonts w:ascii="Times New Roman" w:hAnsi="Times New Roman" w:eastAsia="宋体" w:cs="Times New Roman"/>
      <w:b/>
      <w:bCs/>
      <w:sz w:val="32"/>
      <w:szCs w:val="32"/>
    </w:rPr>
  </w:style>
  <w:style w:type="character" w:customStyle="1" w:styleId="77">
    <w:name w:val="标题 4 Char"/>
    <w:basedOn w:val="63"/>
    <w:link w:val="8"/>
    <w:qFormat/>
    <w:uiPriority w:val="0"/>
    <w:rPr>
      <w:rFonts w:ascii="Arial" w:hAnsi="Arial" w:eastAsia="黑体" w:cs="Times New Roman"/>
      <w:b/>
      <w:bCs/>
      <w:sz w:val="28"/>
      <w:szCs w:val="28"/>
    </w:rPr>
  </w:style>
  <w:style w:type="character" w:customStyle="1" w:styleId="78">
    <w:name w:val="标题 5 Char"/>
    <w:basedOn w:val="63"/>
    <w:link w:val="9"/>
    <w:qFormat/>
    <w:uiPriority w:val="0"/>
    <w:rPr>
      <w:rFonts w:ascii="Times New Roman" w:hAnsi="Times New Roman" w:eastAsia="宋体" w:cs="Times New Roman"/>
      <w:b/>
      <w:bCs/>
      <w:sz w:val="28"/>
      <w:szCs w:val="28"/>
    </w:rPr>
  </w:style>
  <w:style w:type="character" w:customStyle="1" w:styleId="79">
    <w:name w:val="标题 6 Char"/>
    <w:basedOn w:val="63"/>
    <w:link w:val="10"/>
    <w:qFormat/>
    <w:uiPriority w:val="0"/>
    <w:rPr>
      <w:rFonts w:ascii="Arial" w:hAnsi="Arial" w:eastAsia="黑体" w:cs="Times New Roman"/>
      <w:b/>
      <w:bCs/>
      <w:kern w:val="0"/>
      <w:sz w:val="24"/>
      <w:szCs w:val="24"/>
    </w:rPr>
  </w:style>
  <w:style w:type="character" w:customStyle="1" w:styleId="80">
    <w:name w:val="标题 7 Char"/>
    <w:basedOn w:val="63"/>
    <w:link w:val="11"/>
    <w:qFormat/>
    <w:uiPriority w:val="0"/>
    <w:rPr>
      <w:rFonts w:ascii="Times New Roman" w:hAnsi="Times New Roman" w:eastAsia="宋体" w:cs="Times New Roman"/>
      <w:b/>
      <w:bCs/>
      <w:kern w:val="0"/>
      <w:sz w:val="24"/>
      <w:szCs w:val="24"/>
    </w:rPr>
  </w:style>
  <w:style w:type="character" w:customStyle="1" w:styleId="81">
    <w:name w:val="标题 8 Char"/>
    <w:basedOn w:val="63"/>
    <w:link w:val="12"/>
    <w:qFormat/>
    <w:uiPriority w:val="0"/>
    <w:rPr>
      <w:rFonts w:ascii="Arial" w:hAnsi="Arial" w:eastAsia="黑体" w:cs="Times New Roman"/>
      <w:kern w:val="0"/>
      <w:sz w:val="24"/>
      <w:szCs w:val="24"/>
    </w:rPr>
  </w:style>
  <w:style w:type="character" w:customStyle="1" w:styleId="82">
    <w:name w:val="标题 9 Char"/>
    <w:basedOn w:val="63"/>
    <w:link w:val="13"/>
    <w:qFormat/>
    <w:uiPriority w:val="0"/>
    <w:rPr>
      <w:rFonts w:ascii="Arial" w:hAnsi="Arial" w:eastAsia="黑体" w:cs="Times New Roman"/>
      <w:kern w:val="0"/>
      <w:szCs w:val="21"/>
    </w:rPr>
  </w:style>
  <w:style w:type="character" w:customStyle="1" w:styleId="83">
    <w:name w:val="正文缩进 Char"/>
    <w:link w:val="15"/>
    <w:qFormat/>
    <w:locked/>
    <w:uiPriority w:val="0"/>
    <w:rPr>
      <w:rFonts w:ascii="Times New Roman" w:hAnsi="Times New Roman" w:eastAsia="宋体" w:cs="Times New Roman"/>
      <w:szCs w:val="24"/>
    </w:rPr>
  </w:style>
  <w:style w:type="character" w:customStyle="1" w:styleId="84">
    <w:name w:val="标题 1 Char1"/>
    <w:link w:val="2"/>
    <w:qFormat/>
    <w:uiPriority w:val="0"/>
    <w:rPr>
      <w:rFonts w:ascii="Times New Roman" w:hAnsi="Times New Roman" w:eastAsia="宋体" w:cs="Times New Roman"/>
      <w:b/>
      <w:bCs/>
      <w:kern w:val="44"/>
      <w:sz w:val="44"/>
      <w:szCs w:val="44"/>
    </w:rPr>
  </w:style>
  <w:style w:type="character" w:customStyle="1" w:styleId="85">
    <w:name w:val="标题 2 Char1"/>
    <w:link w:val="6"/>
    <w:qFormat/>
    <w:uiPriority w:val="0"/>
    <w:rPr>
      <w:rFonts w:ascii="Arial" w:hAnsi="Arial" w:eastAsia="黑体" w:cs="Times New Roman"/>
      <w:b/>
      <w:bCs/>
      <w:sz w:val="32"/>
      <w:szCs w:val="32"/>
    </w:rPr>
  </w:style>
  <w:style w:type="character" w:customStyle="1" w:styleId="86">
    <w:name w:val="文档结构图 Char"/>
    <w:basedOn w:val="63"/>
    <w:link w:val="18"/>
    <w:qFormat/>
    <w:uiPriority w:val="0"/>
    <w:rPr>
      <w:rFonts w:ascii="Times New Roman" w:hAnsi="Times New Roman" w:eastAsia="宋体" w:cs="Times New Roman"/>
      <w:szCs w:val="24"/>
      <w:shd w:val="clear" w:color="auto" w:fill="000080"/>
    </w:rPr>
  </w:style>
  <w:style w:type="character" w:customStyle="1" w:styleId="87">
    <w:name w:val="批注文字 Char"/>
    <w:basedOn w:val="63"/>
    <w:qFormat/>
    <w:uiPriority w:val="0"/>
  </w:style>
  <w:style w:type="character" w:customStyle="1" w:styleId="88">
    <w:name w:val="批注文字 Char1"/>
    <w:link w:val="19"/>
    <w:qFormat/>
    <w:uiPriority w:val="0"/>
    <w:rPr>
      <w:rFonts w:ascii="Times New Roman" w:hAnsi="Times New Roman" w:eastAsia="宋体" w:cs="Times New Roman"/>
      <w:szCs w:val="24"/>
    </w:rPr>
  </w:style>
  <w:style w:type="character" w:customStyle="1" w:styleId="89">
    <w:name w:val="称呼 Char"/>
    <w:basedOn w:val="63"/>
    <w:link w:val="20"/>
    <w:qFormat/>
    <w:uiPriority w:val="0"/>
    <w:rPr>
      <w:rFonts w:ascii="Times New Roman" w:hAnsi="Times New Roman" w:eastAsia="宋体" w:cs="Times New Roman"/>
      <w:szCs w:val="24"/>
    </w:rPr>
  </w:style>
  <w:style w:type="character" w:customStyle="1" w:styleId="90">
    <w:name w:val="正文文本 3 Char"/>
    <w:basedOn w:val="63"/>
    <w:link w:val="21"/>
    <w:qFormat/>
    <w:uiPriority w:val="0"/>
    <w:rPr>
      <w:rFonts w:ascii="Times New Roman" w:hAnsi="Times New Roman" w:eastAsia="黑体" w:cs="Times New Roman"/>
      <w:b/>
      <w:bCs/>
      <w:sz w:val="24"/>
      <w:szCs w:val="20"/>
    </w:rPr>
  </w:style>
  <w:style w:type="character" w:customStyle="1" w:styleId="91">
    <w:name w:val="正文文本 Char"/>
    <w:basedOn w:val="63"/>
    <w:qFormat/>
    <w:uiPriority w:val="0"/>
  </w:style>
  <w:style w:type="character" w:customStyle="1" w:styleId="92">
    <w:name w:val="正文文本 Char4"/>
    <w:link w:val="22"/>
    <w:qFormat/>
    <w:uiPriority w:val="0"/>
    <w:rPr>
      <w:rFonts w:ascii="Times New Roman" w:hAnsi="Times New Roman" w:eastAsia="宋体" w:cs="Times New Roman"/>
      <w:color w:val="0000FF"/>
      <w:szCs w:val="24"/>
    </w:rPr>
  </w:style>
  <w:style w:type="character" w:customStyle="1" w:styleId="93">
    <w:name w:val="正文文本缩进 Char"/>
    <w:basedOn w:val="63"/>
    <w:qFormat/>
    <w:uiPriority w:val="0"/>
  </w:style>
  <w:style w:type="character" w:customStyle="1" w:styleId="94">
    <w:name w:val="正文文本缩进 Char2"/>
    <w:link w:val="23"/>
    <w:qFormat/>
    <w:uiPriority w:val="0"/>
    <w:rPr>
      <w:rFonts w:ascii="宋体" w:hAnsi="宋体" w:eastAsia="宋体" w:cs="Times New Roman"/>
      <w:sz w:val="24"/>
      <w:szCs w:val="24"/>
    </w:rPr>
  </w:style>
  <w:style w:type="character" w:customStyle="1" w:styleId="95">
    <w:name w:val="文本块 Char"/>
    <w:link w:val="24"/>
    <w:qFormat/>
    <w:uiPriority w:val="0"/>
    <w:rPr>
      <w:rFonts w:ascii="Times New Roman" w:hAnsi="Times New Roman" w:eastAsia="宋体" w:cs="Times New Roman"/>
      <w:i/>
      <w:iCs/>
      <w:color w:val="000000"/>
    </w:rPr>
  </w:style>
  <w:style w:type="character" w:customStyle="1" w:styleId="96">
    <w:name w:val="纯文本 Char"/>
    <w:basedOn w:val="63"/>
    <w:qFormat/>
    <w:uiPriority w:val="0"/>
    <w:rPr>
      <w:rFonts w:ascii="宋体" w:hAnsi="Courier New" w:eastAsia="宋体" w:cs="Courier New"/>
      <w:szCs w:val="21"/>
    </w:rPr>
  </w:style>
  <w:style w:type="character" w:customStyle="1" w:styleId="97">
    <w:name w:val="纯文本 Char1"/>
    <w:link w:val="29"/>
    <w:qFormat/>
    <w:uiPriority w:val="99"/>
    <w:rPr>
      <w:rFonts w:ascii="宋体" w:hAnsi="Courier New" w:eastAsia="宋体" w:cs="Times New Roman"/>
      <w:szCs w:val="20"/>
    </w:rPr>
  </w:style>
  <w:style w:type="character" w:customStyle="1" w:styleId="98">
    <w:name w:val="日期 Char"/>
    <w:basedOn w:val="63"/>
    <w:link w:val="31"/>
    <w:qFormat/>
    <w:uiPriority w:val="0"/>
    <w:rPr>
      <w:rFonts w:ascii="Times New Roman" w:hAnsi="Times New Roman" w:eastAsia="宋体" w:cs="Times New Roman"/>
      <w:szCs w:val="24"/>
    </w:rPr>
  </w:style>
  <w:style w:type="character" w:customStyle="1" w:styleId="99">
    <w:name w:val="正文文本缩进 2 Char"/>
    <w:basedOn w:val="63"/>
    <w:link w:val="32"/>
    <w:qFormat/>
    <w:uiPriority w:val="0"/>
    <w:rPr>
      <w:rFonts w:ascii="Times New Roman" w:hAnsi="Times New Roman" w:eastAsia="宋体" w:cs="Times New Roman"/>
      <w:sz w:val="24"/>
      <w:szCs w:val="24"/>
    </w:rPr>
  </w:style>
  <w:style w:type="character" w:customStyle="1" w:styleId="100">
    <w:name w:val="批注框文本 Char"/>
    <w:basedOn w:val="63"/>
    <w:link w:val="33"/>
    <w:qFormat/>
    <w:uiPriority w:val="0"/>
    <w:rPr>
      <w:rFonts w:ascii="Times New Roman" w:hAnsi="Times New Roman" w:eastAsia="宋体" w:cs="Times New Roman"/>
      <w:sz w:val="18"/>
      <w:szCs w:val="18"/>
    </w:rPr>
  </w:style>
  <w:style w:type="character" w:customStyle="1" w:styleId="101">
    <w:name w:val="页脚 Char"/>
    <w:basedOn w:val="63"/>
    <w:link w:val="34"/>
    <w:qFormat/>
    <w:uiPriority w:val="0"/>
    <w:rPr>
      <w:rFonts w:ascii="Times New Roman" w:hAnsi="Times New Roman" w:eastAsia="宋体" w:cs="Times New Roman"/>
      <w:sz w:val="18"/>
      <w:szCs w:val="18"/>
    </w:rPr>
  </w:style>
  <w:style w:type="character" w:customStyle="1" w:styleId="102">
    <w:name w:val="页眉 Char"/>
    <w:basedOn w:val="63"/>
    <w:link w:val="35"/>
    <w:qFormat/>
    <w:uiPriority w:val="0"/>
    <w:rPr>
      <w:rFonts w:ascii="Times New Roman" w:hAnsi="Times New Roman" w:eastAsia="宋体" w:cs="Times New Roman"/>
      <w:kern w:val="0"/>
      <w:sz w:val="18"/>
      <w:szCs w:val="18"/>
    </w:rPr>
  </w:style>
  <w:style w:type="character" w:customStyle="1" w:styleId="103">
    <w:name w:val="副标题 Char"/>
    <w:basedOn w:val="63"/>
    <w:link w:val="38"/>
    <w:qFormat/>
    <w:uiPriority w:val="0"/>
    <w:rPr>
      <w:rFonts w:ascii="Cambria" w:hAnsi="Cambria" w:eastAsia="宋体" w:cs="Times New Roman"/>
      <w:b/>
      <w:bCs/>
      <w:kern w:val="28"/>
      <w:sz w:val="32"/>
      <w:szCs w:val="32"/>
    </w:rPr>
  </w:style>
  <w:style w:type="character" w:customStyle="1" w:styleId="104">
    <w:name w:val="正文文本缩进 3 Char"/>
    <w:basedOn w:val="63"/>
    <w:link w:val="40"/>
    <w:qFormat/>
    <w:uiPriority w:val="0"/>
    <w:rPr>
      <w:rFonts w:ascii="宋体" w:hAnsi="宋体" w:eastAsia="宋体" w:cs="Times New Roman"/>
      <w:color w:val="000000"/>
      <w:sz w:val="24"/>
      <w:szCs w:val="21"/>
    </w:rPr>
  </w:style>
  <w:style w:type="character" w:customStyle="1" w:styleId="105">
    <w:name w:val="正文文本 2 Char"/>
    <w:basedOn w:val="63"/>
    <w:link w:val="43"/>
    <w:qFormat/>
    <w:uiPriority w:val="0"/>
    <w:rPr>
      <w:rFonts w:ascii="Times New Roman" w:hAnsi="Times New Roman" w:eastAsia="宋体" w:cs="Times New Roman"/>
      <w:szCs w:val="24"/>
    </w:rPr>
  </w:style>
  <w:style w:type="character" w:customStyle="1" w:styleId="106">
    <w:name w:val="标题 Char"/>
    <w:basedOn w:val="63"/>
    <w:link w:val="57"/>
    <w:qFormat/>
    <w:uiPriority w:val="0"/>
    <w:rPr>
      <w:rFonts w:ascii="Arial" w:hAnsi="Arial" w:eastAsia="宋体" w:cs="Times New Roman"/>
      <w:b/>
      <w:sz w:val="44"/>
      <w:szCs w:val="20"/>
    </w:rPr>
  </w:style>
  <w:style w:type="character" w:customStyle="1" w:styleId="107">
    <w:name w:val="批注主题 Char"/>
    <w:basedOn w:val="87"/>
    <w:link w:val="58"/>
    <w:qFormat/>
    <w:uiPriority w:val="0"/>
    <w:rPr>
      <w:rFonts w:ascii="Times New Roman" w:hAnsi="Times New Roman" w:eastAsia="宋体" w:cs="Times New Roman"/>
      <w:b/>
      <w:bCs/>
      <w:szCs w:val="24"/>
    </w:rPr>
  </w:style>
  <w:style w:type="character" w:customStyle="1" w:styleId="108">
    <w:name w:val="正文首行缩进 Char"/>
    <w:basedOn w:val="91"/>
    <w:link w:val="59"/>
    <w:qFormat/>
    <w:uiPriority w:val="0"/>
    <w:rPr>
      <w:rFonts w:ascii="宋体" w:hAnsi="Times New Roman" w:eastAsia="宋体" w:cs="Times New Roman"/>
      <w:szCs w:val="20"/>
    </w:rPr>
  </w:style>
  <w:style w:type="character" w:customStyle="1" w:styleId="109">
    <w:name w:val="正文首行缩进 2 Char"/>
    <w:basedOn w:val="93"/>
    <w:link w:val="60"/>
    <w:qFormat/>
    <w:uiPriority w:val="0"/>
    <w:rPr>
      <w:rFonts w:ascii="Times New Roman" w:hAnsi="Times New Roman" w:eastAsia="宋体" w:cs="Times New Roman"/>
      <w:kern w:val="0"/>
      <w:sz w:val="24"/>
      <w:szCs w:val="24"/>
    </w:rPr>
  </w:style>
  <w:style w:type="table" w:customStyle="1" w:styleId="110">
    <w:name w:val="网格型1"/>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1">
    <w:name w:val="正文文本 Char2"/>
    <w:qFormat/>
    <w:uiPriority w:val="0"/>
    <w:rPr>
      <w:rFonts w:ascii="Times New Roman" w:hAnsi="Times New Roman" w:eastAsia="宋体" w:cs="Times New Roman"/>
      <w:sz w:val="24"/>
      <w:szCs w:val="24"/>
    </w:rPr>
  </w:style>
  <w:style w:type="character" w:customStyle="1" w:styleId="112">
    <w:name w:val="Char Char53"/>
    <w:qFormat/>
    <w:uiPriority w:val="0"/>
    <w:rPr>
      <w:rFonts w:ascii="宋体"/>
      <w:sz w:val="34"/>
    </w:rPr>
  </w:style>
  <w:style w:type="character" w:customStyle="1" w:styleId="113">
    <w:name w:val="Char Char Char"/>
    <w:qFormat/>
    <w:uiPriority w:val="0"/>
    <w:rPr>
      <w:rFonts w:ascii="宋体" w:hAnsi="Courier New" w:eastAsia="宋体"/>
      <w:kern w:val="2"/>
      <w:sz w:val="21"/>
      <w:lang w:val="en-US" w:eastAsia="zh-CN" w:bidi="ar-SA"/>
    </w:rPr>
  </w:style>
  <w:style w:type="character" w:customStyle="1" w:styleId="114">
    <w:name w:val="正文首行缩进 2 Char1"/>
    <w:qFormat/>
    <w:uiPriority w:val="99"/>
  </w:style>
  <w:style w:type="character" w:customStyle="1" w:styleId="115">
    <w:name w:val="标题 Char Char"/>
    <w:qFormat/>
    <w:uiPriority w:val="0"/>
    <w:rPr>
      <w:rFonts w:ascii="Cambria" w:hAnsi="Cambria" w:cs="Times New Roman"/>
      <w:b/>
      <w:bCs/>
      <w:kern w:val="2"/>
      <w:sz w:val="32"/>
      <w:szCs w:val="32"/>
    </w:rPr>
  </w:style>
  <w:style w:type="character" w:customStyle="1" w:styleId="116">
    <w:name w:val="标题 8 Char Char Char"/>
    <w:qFormat/>
    <w:uiPriority w:val="0"/>
    <w:rPr>
      <w:rFonts w:ascii="Arial" w:hAnsi="Arial" w:eastAsia="黑体"/>
      <w:sz w:val="24"/>
      <w:szCs w:val="24"/>
    </w:rPr>
  </w:style>
  <w:style w:type="character" w:customStyle="1" w:styleId="117">
    <w:name w:val="正文文本 Char3"/>
    <w:semiHidden/>
    <w:qFormat/>
    <w:uiPriority w:val="99"/>
    <w:rPr>
      <w:rFonts w:ascii="宋体"/>
      <w:sz w:val="34"/>
    </w:rPr>
  </w:style>
  <w:style w:type="character" w:customStyle="1" w:styleId="118">
    <w:name w:val="Char Char24"/>
    <w:qFormat/>
    <w:uiPriority w:val="0"/>
    <w:rPr>
      <w:i/>
      <w:iCs/>
      <w:color w:val="000000"/>
      <w:kern w:val="2"/>
      <w:sz w:val="21"/>
      <w:szCs w:val="22"/>
      <w:lang w:bidi="ar-SA"/>
    </w:rPr>
  </w:style>
  <w:style w:type="character" w:customStyle="1" w:styleId="119">
    <w:name w:val="Char Char50"/>
    <w:qFormat/>
    <w:uiPriority w:val="0"/>
    <w:rPr>
      <w:rFonts w:eastAsia="黑体"/>
      <w:b/>
      <w:bCs/>
      <w:kern w:val="44"/>
      <w:sz w:val="32"/>
      <w:szCs w:val="44"/>
      <w:lang w:val="en-US" w:eastAsia="zh-CN" w:bidi="ar-SA"/>
    </w:rPr>
  </w:style>
  <w:style w:type="character" w:customStyle="1" w:styleId="120">
    <w:name w:val="标题 6 Char Char"/>
    <w:qFormat/>
    <w:uiPriority w:val="0"/>
    <w:rPr>
      <w:rFonts w:ascii="Cambria" w:hAnsi="Cambria" w:eastAsia="宋体" w:cs="Times New Roman"/>
      <w:b/>
      <w:bCs/>
      <w:kern w:val="2"/>
      <w:sz w:val="24"/>
      <w:szCs w:val="24"/>
    </w:rPr>
  </w:style>
  <w:style w:type="character" w:customStyle="1" w:styleId="121">
    <w:name w:val="标题 9 Char Char Char"/>
    <w:qFormat/>
    <w:uiPriority w:val="0"/>
    <w:rPr>
      <w:rFonts w:ascii="Arial" w:hAnsi="Arial" w:eastAsia="黑体"/>
      <w:sz w:val="21"/>
      <w:szCs w:val="21"/>
    </w:rPr>
  </w:style>
  <w:style w:type="character" w:customStyle="1" w:styleId="122">
    <w:name w:val="不明显强调1"/>
    <w:qFormat/>
    <w:uiPriority w:val="0"/>
    <w:rPr>
      <w:i/>
      <w:iCs/>
      <w:color w:val="808080"/>
    </w:rPr>
  </w:style>
  <w:style w:type="character" w:customStyle="1" w:styleId="123">
    <w:name w:val="标题 2 Char Char Char"/>
    <w:qFormat/>
    <w:uiPriority w:val="0"/>
    <w:rPr>
      <w:rFonts w:ascii="Arial" w:hAnsi="Arial" w:eastAsia="黑体"/>
      <w:b/>
      <w:bCs/>
      <w:kern w:val="2"/>
      <w:sz w:val="32"/>
      <w:szCs w:val="32"/>
      <w:lang w:val="en-US" w:eastAsia="zh-CN" w:bidi="ar-SA"/>
    </w:rPr>
  </w:style>
  <w:style w:type="character" w:customStyle="1" w:styleId="124">
    <w:name w:val="明显强调1"/>
    <w:qFormat/>
    <w:uiPriority w:val="0"/>
    <w:rPr>
      <w:b/>
      <w:bCs/>
      <w:i/>
      <w:iCs/>
      <w:color w:val="4F81BD"/>
    </w:rPr>
  </w:style>
  <w:style w:type="character" w:customStyle="1" w:styleId="125">
    <w:name w:val="Char Char26"/>
    <w:qFormat/>
    <w:uiPriority w:val="0"/>
    <w:rPr>
      <w:rFonts w:ascii="宋体" w:eastAsia="宋体"/>
      <w:kern w:val="2"/>
      <w:sz w:val="28"/>
      <w:szCs w:val="24"/>
      <w:lang w:val="en-US" w:eastAsia="zh-CN" w:bidi="ar-SA"/>
    </w:rPr>
  </w:style>
  <w:style w:type="character" w:customStyle="1" w:styleId="126">
    <w:name w:val="ca-5"/>
    <w:qFormat/>
    <w:uiPriority w:val="0"/>
    <w:rPr>
      <w:rFonts w:ascii="Tahoma" w:hAnsi="Tahoma"/>
      <w:sz w:val="24"/>
      <w:szCs w:val="20"/>
    </w:rPr>
  </w:style>
  <w:style w:type="character" w:customStyle="1" w:styleId="127">
    <w:name w:val="Char Char22"/>
    <w:qFormat/>
    <w:uiPriority w:val="0"/>
    <w:rPr>
      <w:kern w:val="2"/>
      <w:sz w:val="18"/>
      <w:szCs w:val="18"/>
    </w:rPr>
  </w:style>
  <w:style w:type="character" w:customStyle="1" w:styleId="128">
    <w:name w:val="正文文本缩进 3 Char1"/>
    <w:semiHidden/>
    <w:qFormat/>
    <w:uiPriority w:val="99"/>
    <w:rPr>
      <w:rFonts w:ascii="宋体"/>
      <w:sz w:val="16"/>
      <w:szCs w:val="16"/>
    </w:rPr>
  </w:style>
  <w:style w:type="character" w:customStyle="1" w:styleId="129">
    <w:name w:val="页眉 Char1"/>
    <w:semiHidden/>
    <w:qFormat/>
    <w:uiPriority w:val="99"/>
    <w:rPr>
      <w:rFonts w:ascii="宋体"/>
      <w:sz w:val="18"/>
      <w:szCs w:val="18"/>
    </w:rPr>
  </w:style>
  <w:style w:type="character" w:customStyle="1" w:styleId="130">
    <w:name w:val="正文 New Char Char"/>
    <w:link w:val="131"/>
    <w:qFormat/>
    <w:uiPriority w:val="0"/>
    <w:rPr>
      <w:rFonts w:eastAsia="Times New Roman"/>
      <w:szCs w:val="24"/>
    </w:rPr>
  </w:style>
  <w:style w:type="paragraph" w:customStyle="1" w:styleId="131">
    <w:name w:val="正文 New"/>
    <w:link w:val="130"/>
    <w:qFormat/>
    <w:uiPriority w:val="0"/>
    <w:pPr>
      <w:widowControl w:val="0"/>
      <w:jc w:val="both"/>
    </w:pPr>
    <w:rPr>
      <w:rFonts w:eastAsia="Times New Roman" w:asciiTheme="minorHAnsi" w:hAnsiTheme="minorHAnsi" w:cstheme="minorBidi"/>
      <w:kern w:val="2"/>
      <w:sz w:val="21"/>
      <w:szCs w:val="24"/>
      <w:lang w:val="en-US" w:eastAsia="zh-CN" w:bidi="ar-SA"/>
    </w:rPr>
  </w:style>
  <w:style w:type="character" w:customStyle="1" w:styleId="132">
    <w:name w:val="批注主题 Char3"/>
    <w:semiHidden/>
    <w:qFormat/>
    <w:uiPriority w:val="99"/>
    <w:rPr>
      <w:b/>
      <w:bCs/>
    </w:rPr>
  </w:style>
  <w:style w:type="character" w:customStyle="1" w:styleId="133">
    <w:name w:val="标题 8 Char Char"/>
    <w:qFormat/>
    <w:uiPriority w:val="0"/>
    <w:rPr>
      <w:rFonts w:ascii="Cambria" w:hAnsi="Cambria" w:eastAsia="宋体" w:cs="Times New Roman"/>
      <w:kern w:val="2"/>
      <w:sz w:val="24"/>
      <w:szCs w:val="24"/>
    </w:rPr>
  </w:style>
  <w:style w:type="character" w:customStyle="1" w:styleId="134">
    <w:name w:val="页码1"/>
    <w:qFormat/>
    <w:uiPriority w:val="0"/>
    <w:rPr>
      <w:rFonts w:cs="Times New Roman"/>
    </w:rPr>
  </w:style>
  <w:style w:type="character" w:customStyle="1" w:styleId="135">
    <w:name w:val="副标题 Char Char Char"/>
    <w:qFormat/>
    <w:uiPriority w:val="0"/>
    <w:rPr>
      <w:rFonts w:ascii="Cambria" w:hAnsi="Cambria"/>
      <w:b/>
      <w:bCs/>
      <w:kern w:val="28"/>
      <w:sz w:val="32"/>
      <w:szCs w:val="32"/>
    </w:rPr>
  </w:style>
  <w:style w:type="character" w:customStyle="1" w:styleId="136">
    <w:name w:val="文档结构图 Char3"/>
    <w:semiHidden/>
    <w:qFormat/>
    <w:uiPriority w:val="99"/>
    <w:rPr>
      <w:rFonts w:ascii="宋体"/>
      <w:sz w:val="18"/>
      <w:szCs w:val="18"/>
    </w:rPr>
  </w:style>
  <w:style w:type="character" w:customStyle="1" w:styleId="137">
    <w:name w:val="文本块 Char Char"/>
    <w:qFormat/>
    <w:uiPriority w:val="0"/>
    <w:rPr>
      <w:i/>
      <w:iCs/>
      <w:color w:val="000000"/>
      <w:kern w:val="2"/>
      <w:sz w:val="21"/>
      <w:szCs w:val="22"/>
      <w:lang w:bidi="ar-SA"/>
    </w:rPr>
  </w:style>
  <w:style w:type="character" w:customStyle="1" w:styleId="138">
    <w:name w:val="标题 3 Char Char"/>
    <w:qFormat/>
    <w:uiPriority w:val="0"/>
    <w:rPr>
      <w:b/>
      <w:bCs/>
      <w:kern w:val="2"/>
      <w:sz w:val="32"/>
      <w:szCs w:val="32"/>
    </w:rPr>
  </w:style>
  <w:style w:type="character" w:customStyle="1" w:styleId="139">
    <w:name w:val="样式 标题 1 + (西文) 宋体 小四 Char"/>
    <w:link w:val="140"/>
    <w:qFormat/>
    <w:uiPriority w:val="0"/>
    <w:rPr>
      <w:rFonts w:ascii="宋体" w:hAnsi="宋体"/>
    </w:rPr>
  </w:style>
  <w:style w:type="paragraph" w:customStyle="1" w:styleId="140">
    <w:name w:val="样式 标题 1 + (西文) 宋体 小四"/>
    <w:basedOn w:val="2"/>
    <w:link w:val="139"/>
    <w:qFormat/>
    <w:uiPriority w:val="0"/>
    <w:pPr>
      <w:spacing w:before="0" w:after="0"/>
      <w:jc w:val="center"/>
    </w:pPr>
    <w:rPr>
      <w:rFonts w:ascii="宋体" w:hAnsi="宋体" w:eastAsiaTheme="minorEastAsia" w:cstheme="minorBidi"/>
      <w:b w:val="0"/>
      <w:bCs w:val="0"/>
      <w:kern w:val="2"/>
      <w:sz w:val="21"/>
      <w:szCs w:val="22"/>
    </w:rPr>
  </w:style>
  <w:style w:type="character" w:customStyle="1" w:styleId="141">
    <w:name w:val="Char Char32"/>
    <w:qFormat/>
    <w:uiPriority w:val="0"/>
    <w:rPr>
      <w:rFonts w:ascii="Cambria" w:hAnsi="Cambria" w:eastAsia="宋体" w:cs="Times New Roman"/>
      <w:b/>
      <w:bCs/>
      <w:kern w:val="2"/>
      <w:sz w:val="28"/>
      <w:szCs w:val="28"/>
    </w:rPr>
  </w:style>
  <w:style w:type="character" w:customStyle="1" w:styleId="142">
    <w:name w:val="Char Char30"/>
    <w:qFormat/>
    <w:uiPriority w:val="0"/>
    <w:rPr>
      <w:rFonts w:ascii="Arial" w:hAnsi="Arial" w:eastAsia="黑体"/>
      <w:b/>
      <w:bCs/>
      <w:kern w:val="2"/>
      <w:sz w:val="28"/>
      <w:szCs w:val="24"/>
      <w:lang w:val="en-US" w:eastAsia="zh-CN" w:bidi="ar-SA"/>
    </w:rPr>
  </w:style>
  <w:style w:type="character" w:customStyle="1" w:styleId="143">
    <w:name w:val="引用 Char1"/>
    <w:qFormat/>
    <w:uiPriority w:val="0"/>
    <w:rPr>
      <w:i/>
      <w:iCs/>
      <w:color w:val="000000"/>
      <w:kern w:val="2"/>
      <w:sz w:val="21"/>
      <w:szCs w:val="24"/>
    </w:rPr>
  </w:style>
  <w:style w:type="character" w:customStyle="1" w:styleId="144">
    <w:name w:val="引用 Char2"/>
    <w:link w:val="145"/>
    <w:qFormat/>
    <w:uiPriority w:val="29"/>
    <w:rPr>
      <w:i/>
      <w:iCs/>
      <w:color w:val="000000"/>
    </w:rPr>
  </w:style>
  <w:style w:type="paragraph" w:styleId="145">
    <w:name w:val="Quote"/>
    <w:basedOn w:val="1"/>
    <w:next w:val="1"/>
    <w:link w:val="144"/>
    <w:qFormat/>
    <w:uiPriority w:val="0"/>
    <w:rPr>
      <w:i/>
      <w:iCs/>
      <w:color w:val="000000"/>
    </w:rPr>
  </w:style>
  <w:style w:type="character" w:customStyle="1" w:styleId="146">
    <w:name w:val="引用 Char"/>
    <w:basedOn w:val="63"/>
    <w:qFormat/>
    <w:uiPriority w:val="0"/>
    <w:rPr>
      <w:i/>
      <w:iCs/>
      <w:color w:val="000000" w:themeColor="text1"/>
      <w14:textFill>
        <w14:solidFill>
          <w14:schemeClr w14:val="tx1"/>
        </w14:solidFill>
      </w14:textFill>
    </w:rPr>
  </w:style>
  <w:style w:type="character" w:customStyle="1" w:styleId="147">
    <w:name w:val="批注文字 Char Char"/>
    <w:qFormat/>
    <w:uiPriority w:val="0"/>
    <w:rPr>
      <w:rFonts w:ascii="宋体" w:hAnsi="Times New Roman" w:eastAsia="宋体" w:cs="Times New Roman"/>
      <w:sz w:val="28"/>
      <w:szCs w:val="20"/>
    </w:rPr>
  </w:style>
  <w:style w:type="character" w:customStyle="1" w:styleId="148">
    <w:name w:val="批注文字 Char Char Char"/>
    <w:qFormat/>
    <w:uiPriority w:val="0"/>
    <w:rPr>
      <w:kern w:val="2"/>
      <w:sz w:val="21"/>
      <w:szCs w:val="22"/>
    </w:rPr>
  </w:style>
  <w:style w:type="character" w:customStyle="1" w:styleId="149">
    <w:name w:val="页脚 Char Char"/>
    <w:qFormat/>
    <w:uiPriority w:val="0"/>
    <w:rPr>
      <w:kern w:val="2"/>
      <w:sz w:val="18"/>
      <w:szCs w:val="18"/>
    </w:rPr>
  </w:style>
  <w:style w:type="character" w:customStyle="1" w:styleId="150">
    <w:name w:val="批注主题 Char Char"/>
    <w:link w:val="151"/>
    <w:qFormat/>
    <w:uiPriority w:val="0"/>
    <w:rPr>
      <w:rFonts w:ascii="宋体"/>
      <w:b/>
      <w:bCs/>
      <w:sz w:val="28"/>
    </w:rPr>
  </w:style>
  <w:style w:type="paragraph" w:customStyle="1" w:styleId="151">
    <w:name w:val="批注主题1"/>
    <w:basedOn w:val="19"/>
    <w:next w:val="19"/>
    <w:link w:val="150"/>
    <w:qFormat/>
    <w:uiPriority w:val="0"/>
    <w:rPr>
      <w:rFonts w:ascii="宋体" w:hAnsiTheme="minorHAnsi" w:eastAsiaTheme="minorEastAsia" w:cstheme="minorBidi"/>
      <w:b/>
      <w:bCs/>
      <w:sz w:val="28"/>
      <w:szCs w:val="22"/>
    </w:rPr>
  </w:style>
  <w:style w:type="character" w:customStyle="1" w:styleId="152">
    <w:name w:val="纯文本 Char2"/>
    <w:semiHidden/>
    <w:qFormat/>
    <w:uiPriority w:val="99"/>
    <w:rPr>
      <w:rFonts w:ascii="宋体" w:hAnsi="Courier New" w:cs="Courier New"/>
      <w:sz w:val="21"/>
      <w:szCs w:val="21"/>
    </w:rPr>
  </w:style>
  <w:style w:type="character" w:customStyle="1" w:styleId="153">
    <w:name w:val="标题 7 Char Char"/>
    <w:qFormat/>
    <w:uiPriority w:val="0"/>
    <w:rPr>
      <w:b/>
      <w:bCs/>
      <w:kern w:val="2"/>
      <w:sz w:val="24"/>
      <w:szCs w:val="24"/>
    </w:rPr>
  </w:style>
  <w:style w:type="character" w:customStyle="1" w:styleId="154">
    <w:name w:val="正文首行缩进 Char1"/>
    <w:qFormat/>
    <w:uiPriority w:val="99"/>
  </w:style>
  <w:style w:type="character" w:customStyle="1" w:styleId="155">
    <w:name w:val="black"/>
    <w:qFormat/>
    <w:uiPriority w:val="0"/>
    <w:rPr>
      <w:rFonts w:eastAsia="宋体"/>
      <w:kern w:val="2"/>
      <w:sz w:val="24"/>
      <w:szCs w:val="24"/>
      <w:lang w:val="en-US" w:eastAsia="zh-CN" w:bidi="ar-SA"/>
    </w:rPr>
  </w:style>
  <w:style w:type="character" w:customStyle="1" w:styleId="156">
    <w:name w:val="页眉 Char Char"/>
    <w:qFormat/>
    <w:uiPriority w:val="0"/>
    <w:rPr>
      <w:kern w:val="2"/>
      <w:sz w:val="18"/>
      <w:szCs w:val="18"/>
    </w:rPr>
  </w:style>
  <w:style w:type="character" w:customStyle="1" w:styleId="157">
    <w:name w:val="日期 Char1"/>
    <w:qFormat/>
    <w:uiPriority w:val="0"/>
    <w:rPr>
      <w:kern w:val="2"/>
      <w:sz w:val="21"/>
      <w:szCs w:val="22"/>
    </w:rPr>
  </w:style>
  <w:style w:type="character" w:customStyle="1" w:styleId="158">
    <w:name w:val="副标题 Char1"/>
    <w:qFormat/>
    <w:uiPriority w:val="0"/>
    <w:rPr>
      <w:rFonts w:ascii="Cambria" w:hAnsi="Cambria" w:cs="Times New Roman"/>
      <w:b/>
      <w:bCs/>
      <w:kern w:val="28"/>
      <w:sz w:val="32"/>
      <w:szCs w:val="32"/>
    </w:rPr>
  </w:style>
  <w:style w:type="character" w:customStyle="1" w:styleId="159">
    <w:name w:val="样式 样式 标题 2 + Times New Roman 四号 非加粗 段前: 5 磅 段后: 0 磅 行距: 固定值 20.....1 Char"/>
    <w:link w:val="160"/>
    <w:qFormat/>
    <w:uiPriority w:val="0"/>
    <w:rPr>
      <w:rFonts w:ascii="宋体" w:hAnsi="宋体"/>
      <w:sz w:val="30"/>
    </w:rPr>
  </w:style>
  <w:style w:type="paragraph" w:customStyle="1" w:styleId="160">
    <w:name w:val="样式 样式 标题 2 + Times New Roman 四号 非加粗 段前: 5 磅 段后: 0 磅 行距: 固定值 20.....1"/>
    <w:basedOn w:val="161"/>
    <w:link w:val="159"/>
    <w:qFormat/>
    <w:uiPriority w:val="0"/>
    <w:pPr>
      <w:jc w:val="center"/>
    </w:pPr>
    <w:rPr>
      <w:rFonts w:ascii="宋体" w:hAnsi="宋体" w:eastAsiaTheme="minorEastAsia" w:cstheme="minorBidi"/>
      <w:kern w:val="2"/>
      <w:sz w:val="30"/>
      <w:szCs w:val="22"/>
    </w:rPr>
  </w:style>
  <w:style w:type="paragraph" w:customStyle="1" w:styleId="161">
    <w:name w:val="样式 标题 2 + Times New Roman 四号 非加粗 段前: 5 磅 段后: 0 磅 行距: 固定值 20..."/>
    <w:basedOn w:val="6"/>
    <w:link w:val="162"/>
    <w:qFormat/>
    <w:uiPriority w:val="0"/>
    <w:pPr>
      <w:spacing w:before="100" w:after="0" w:line="400" w:lineRule="exact"/>
    </w:pPr>
    <w:rPr>
      <w:rFonts w:ascii="Times New Roman" w:hAnsi="Times New Roman" w:eastAsia="宋体" w:cs="宋体"/>
      <w:b w:val="0"/>
      <w:bCs w:val="0"/>
      <w:kern w:val="0"/>
      <w:sz w:val="28"/>
      <w:szCs w:val="20"/>
    </w:rPr>
  </w:style>
  <w:style w:type="character" w:customStyle="1" w:styleId="162">
    <w:name w:val="样式 标题 2 + Times New Roman 四号 非加粗 段前: 5 磅 段后: 0 磅 行距: 固定值 20... Char"/>
    <w:link w:val="161"/>
    <w:qFormat/>
    <w:uiPriority w:val="0"/>
    <w:rPr>
      <w:rFonts w:ascii="Times New Roman" w:hAnsi="Times New Roman" w:eastAsia="宋体" w:cs="宋体"/>
      <w:kern w:val="0"/>
      <w:sz w:val="28"/>
      <w:szCs w:val="20"/>
    </w:rPr>
  </w:style>
  <w:style w:type="character" w:customStyle="1" w:styleId="163">
    <w:name w:val="Char Char49"/>
    <w:qFormat/>
    <w:uiPriority w:val="0"/>
    <w:rPr>
      <w:rFonts w:ascii="Cambria" w:hAnsi="Cambria" w:eastAsia="黑体"/>
      <w:b/>
      <w:bCs/>
      <w:kern w:val="2"/>
      <w:sz w:val="32"/>
      <w:szCs w:val="32"/>
      <w:lang w:val="en-US" w:eastAsia="zh-CN" w:bidi="ar-SA"/>
    </w:rPr>
  </w:style>
  <w:style w:type="character" w:customStyle="1" w:styleId="164">
    <w:name w:val="明显强调11"/>
    <w:qFormat/>
    <w:uiPriority w:val="0"/>
    <w:rPr>
      <w:b/>
      <w:bCs/>
      <w:i/>
      <w:iCs/>
      <w:color w:val="4F81BD"/>
    </w:rPr>
  </w:style>
  <w:style w:type="character" w:customStyle="1" w:styleId="165">
    <w:name w:val="标题 6 Char Char Char"/>
    <w:qFormat/>
    <w:uiPriority w:val="0"/>
    <w:rPr>
      <w:rFonts w:ascii="Arial" w:hAnsi="Arial" w:eastAsia="黑体"/>
      <w:b/>
      <w:bCs/>
      <w:sz w:val="24"/>
      <w:szCs w:val="24"/>
    </w:rPr>
  </w:style>
  <w:style w:type="character" w:customStyle="1" w:styleId="166">
    <w:name w:val="Char Char3"/>
    <w:qFormat/>
    <w:locked/>
    <w:uiPriority w:val="0"/>
    <w:rPr>
      <w:rFonts w:ascii="Arial" w:hAnsi="Arial" w:eastAsia="黑体"/>
      <w:b/>
      <w:bCs/>
      <w:kern w:val="2"/>
      <w:sz w:val="32"/>
      <w:szCs w:val="32"/>
      <w:lang w:val="en-US" w:eastAsia="zh-CN" w:bidi="ar-SA"/>
    </w:rPr>
  </w:style>
  <w:style w:type="character" w:customStyle="1" w:styleId="167">
    <w:name w:val="标题 5 Char Char"/>
    <w:qFormat/>
    <w:uiPriority w:val="0"/>
    <w:rPr>
      <w:b/>
      <w:bCs/>
      <w:kern w:val="2"/>
      <w:sz w:val="28"/>
      <w:szCs w:val="28"/>
    </w:rPr>
  </w:style>
  <w:style w:type="character" w:customStyle="1" w:styleId="168">
    <w:name w:val="标题 3 Char Char Char"/>
    <w:qFormat/>
    <w:uiPriority w:val="0"/>
    <w:rPr>
      <w:b/>
      <w:bCs/>
      <w:kern w:val="2"/>
      <w:sz w:val="32"/>
      <w:szCs w:val="32"/>
    </w:rPr>
  </w:style>
  <w:style w:type="character" w:customStyle="1" w:styleId="169">
    <w:name w:val="批注框文本 Char2"/>
    <w:semiHidden/>
    <w:qFormat/>
    <w:uiPriority w:val="99"/>
    <w:rPr>
      <w:rFonts w:ascii="宋体"/>
      <w:sz w:val="18"/>
      <w:szCs w:val="18"/>
    </w:rPr>
  </w:style>
  <w:style w:type="character" w:customStyle="1" w:styleId="170">
    <w:name w:val="Char Char33"/>
    <w:qFormat/>
    <w:uiPriority w:val="0"/>
    <w:rPr>
      <w:b/>
      <w:bCs/>
      <w:kern w:val="2"/>
      <w:sz w:val="32"/>
      <w:szCs w:val="32"/>
    </w:rPr>
  </w:style>
  <w:style w:type="character" w:customStyle="1" w:styleId="171">
    <w:name w:val="Char Char2"/>
    <w:qFormat/>
    <w:locked/>
    <w:uiPriority w:val="0"/>
    <w:rPr>
      <w:sz w:val="18"/>
      <w:szCs w:val="18"/>
      <w:lang w:bidi="ar-SA"/>
    </w:rPr>
  </w:style>
  <w:style w:type="character" w:customStyle="1" w:styleId="172">
    <w:name w:val="明显参考1"/>
    <w:qFormat/>
    <w:uiPriority w:val="0"/>
    <w:rPr>
      <w:b/>
      <w:bCs/>
      <w:smallCaps/>
      <w:color w:val="C0504D"/>
      <w:spacing w:val="5"/>
      <w:u w:val="single"/>
    </w:rPr>
  </w:style>
  <w:style w:type="character" w:customStyle="1" w:styleId="173">
    <w:name w:val="不明显强调2"/>
    <w:qFormat/>
    <w:uiPriority w:val="0"/>
    <w:rPr>
      <w:i/>
      <w:iCs/>
      <w:color w:val="808080"/>
    </w:rPr>
  </w:style>
  <w:style w:type="character" w:customStyle="1" w:styleId="174">
    <w:name w:val="Char Char28"/>
    <w:qFormat/>
    <w:uiPriority w:val="0"/>
    <w:rPr>
      <w:rFonts w:ascii="Cambria" w:hAnsi="Cambria" w:eastAsia="宋体" w:cs="Times New Roman"/>
      <w:kern w:val="2"/>
      <w:sz w:val="24"/>
      <w:szCs w:val="24"/>
    </w:rPr>
  </w:style>
  <w:style w:type="character" w:customStyle="1" w:styleId="175">
    <w:name w:val="页脚 Char1"/>
    <w:semiHidden/>
    <w:qFormat/>
    <w:uiPriority w:val="99"/>
    <w:rPr>
      <w:rFonts w:ascii="宋体"/>
      <w:sz w:val="18"/>
      <w:szCs w:val="18"/>
    </w:rPr>
  </w:style>
  <w:style w:type="character" w:customStyle="1" w:styleId="176">
    <w:name w:val="明显引用 Char"/>
    <w:qFormat/>
    <w:uiPriority w:val="0"/>
    <w:rPr>
      <w:b/>
      <w:bCs/>
      <w:i/>
      <w:iCs/>
      <w:color w:val="4F81BD"/>
      <w:kern w:val="2"/>
      <w:sz w:val="21"/>
      <w:szCs w:val="22"/>
    </w:rPr>
  </w:style>
  <w:style w:type="character" w:customStyle="1" w:styleId="177">
    <w:name w:val="批注主题 Char2"/>
    <w:qFormat/>
    <w:uiPriority w:val="99"/>
    <w:rPr>
      <w:rFonts w:ascii="宋体" w:eastAsia="宋体"/>
      <w:b/>
      <w:bCs/>
      <w:kern w:val="2"/>
      <w:sz w:val="28"/>
      <w:szCs w:val="22"/>
      <w:lang w:val="en-US" w:eastAsia="zh-CN" w:bidi="ar-SA"/>
    </w:rPr>
  </w:style>
  <w:style w:type="character" w:customStyle="1" w:styleId="178">
    <w:name w:val="明显引用 Char2"/>
    <w:link w:val="179"/>
    <w:qFormat/>
    <w:uiPriority w:val="30"/>
    <w:rPr>
      <w:b/>
      <w:bCs/>
      <w:i/>
      <w:iCs/>
      <w:color w:val="4F81BD"/>
    </w:rPr>
  </w:style>
  <w:style w:type="paragraph" w:styleId="179">
    <w:name w:val="Intense Quote"/>
    <w:basedOn w:val="1"/>
    <w:next w:val="1"/>
    <w:link w:val="178"/>
    <w:qFormat/>
    <w:uiPriority w:val="0"/>
    <w:pPr>
      <w:pBdr>
        <w:bottom w:val="single" w:color="4F81BD" w:sz="4" w:space="4"/>
      </w:pBdr>
      <w:spacing w:before="200" w:after="280"/>
      <w:ind w:left="936" w:right="936"/>
    </w:pPr>
    <w:rPr>
      <w:b/>
      <w:bCs/>
      <w:i/>
      <w:iCs/>
      <w:color w:val="4F81BD"/>
    </w:rPr>
  </w:style>
  <w:style w:type="character" w:customStyle="1" w:styleId="180">
    <w:name w:val="明显引用 Char1"/>
    <w:basedOn w:val="63"/>
    <w:qFormat/>
    <w:uiPriority w:val="0"/>
    <w:rPr>
      <w:b/>
      <w:bCs/>
      <w:i/>
      <w:iCs/>
      <w:color w:val="4F81BD" w:themeColor="accent1"/>
      <w14:textFill>
        <w14:solidFill>
          <w14:schemeClr w14:val="accent1"/>
        </w14:solidFill>
      </w14:textFill>
    </w:rPr>
  </w:style>
  <w:style w:type="character" w:customStyle="1" w:styleId="181">
    <w:name w:val="引用 Char3"/>
    <w:link w:val="182"/>
    <w:qFormat/>
    <w:uiPriority w:val="0"/>
    <w:rPr>
      <w:i/>
      <w:iCs/>
      <w:color w:val="000000"/>
    </w:rPr>
  </w:style>
  <w:style w:type="paragraph" w:customStyle="1" w:styleId="182">
    <w:name w:val="引用1"/>
    <w:basedOn w:val="1"/>
    <w:next w:val="1"/>
    <w:link w:val="181"/>
    <w:qFormat/>
    <w:uiPriority w:val="0"/>
    <w:rPr>
      <w:i/>
      <w:iCs/>
      <w:color w:val="000000"/>
    </w:rPr>
  </w:style>
  <w:style w:type="character" w:customStyle="1" w:styleId="183">
    <w:name w:val="日期 Char Char"/>
    <w:link w:val="184"/>
    <w:qFormat/>
    <w:uiPriority w:val="0"/>
    <w:rPr>
      <w:rFonts w:ascii="宋体"/>
      <w:sz w:val="28"/>
    </w:rPr>
  </w:style>
  <w:style w:type="paragraph" w:customStyle="1" w:styleId="184">
    <w:name w:val="日期1"/>
    <w:basedOn w:val="1"/>
    <w:next w:val="1"/>
    <w:link w:val="183"/>
    <w:qFormat/>
    <w:uiPriority w:val="0"/>
    <w:pPr>
      <w:ind w:left="100" w:leftChars="2500"/>
    </w:pPr>
    <w:rPr>
      <w:rFonts w:ascii="宋体"/>
      <w:sz w:val="28"/>
    </w:rPr>
  </w:style>
  <w:style w:type="character" w:customStyle="1" w:styleId="185">
    <w:name w:val="Char Char1"/>
    <w:qFormat/>
    <w:uiPriority w:val="0"/>
    <w:rPr>
      <w:rFonts w:hint="eastAsia" w:ascii="宋体" w:hAnsi="宋体" w:eastAsia="宋体"/>
      <w:b/>
      <w:bCs/>
      <w:kern w:val="2"/>
      <w:sz w:val="32"/>
      <w:szCs w:val="32"/>
      <w:lang w:val="en-US" w:eastAsia="zh-CN" w:bidi="ar-SA"/>
    </w:rPr>
  </w:style>
  <w:style w:type="character" w:customStyle="1" w:styleId="186">
    <w:name w:val="Char Char23"/>
    <w:qFormat/>
    <w:uiPriority w:val="0"/>
    <w:rPr>
      <w:rFonts w:ascii="Times New Roman" w:hAnsi="Times New Roman"/>
    </w:rPr>
  </w:style>
  <w:style w:type="character" w:customStyle="1" w:styleId="187">
    <w:name w:val="Char Char19"/>
    <w:qFormat/>
    <w:uiPriority w:val="0"/>
    <w:rPr>
      <w:rFonts w:ascii="宋体" w:eastAsia="宋体"/>
      <w:b/>
      <w:bCs/>
      <w:kern w:val="2"/>
      <w:sz w:val="28"/>
      <w:szCs w:val="22"/>
      <w:lang w:val="en-US" w:eastAsia="zh-CN" w:bidi="ar-SA"/>
    </w:rPr>
  </w:style>
  <w:style w:type="character" w:customStyle="1" w:styleId="188">
    <w:name w:val="日期 Char3"/>
    <w:semiHidden/>
    <w:qFormat/>
    <w:uiPriority w:val="99"/>
    <w:rPr>
      <w:rFonts w:ascii="宋体"/>
      <w:sz w:val="34"/>
    </w:rPr>
  </w:style>
  <w:style w:type="character" w:customStyle="1" w:styleId="189">
    <w:name w:val="正文文本 Char Char"/>
    <w:qFormat/>
    <w:uiPriority w:val="0"/>
    <w:rPr>
      <w:rFonts w:ascii="Times New Roman" w:hAnsi="Times New Roman"/>
    </w:rPr>
  </w:style>
  <w:style w:type="character" w:customStyle="1" w:styleId="190">
    <w:name w:val="标题5 Char Char"/>
    <w:link w:val="191"/>
    <w:qFormat/>
    <w:uiPriority w:val="0"/>
    <w:rPr>
      <w:rFonts w:ascii="Arial" w:hAnsi="Arial"/>
      <w:b/>
      <w:bCs/>
      <w:sz w:val="24"/>
      <w:szCs w:val="32"/>
    </w:rPr>
  </w:style>
  <w:style w:type="paragraph" w:customStyle="1" w:styleId="191">
    <w:name w:val="标题5"/>
    <w:basedOn w:val="7"/>
    <w:link w:val="190"/>
    <w:qFormat/>
    <w:uiPriority w:val="0"/>
    <w:pPr>
      <w:spacing w:line="413" w:lineRule="auto"/>
    </w:pPr>
    <w:rPr>
      <w:rFonts w:ascii="Arial" w:hAnsi="Arial" w:eastAsiaTheme="minorEastAsia" w:cstheme="minorBidi"/>
      <w:sz w:val="24"/>
    </w:rPr>
  </w:style>
  <w:style w:type="character" w:customStyle="1" w:styleId="192">
    <w:name w:val="正文文本 3 Char1"/>
    <w:semiHidden/>
    <w:qFormat/>
    <w:uiPriority w:val="99"/>
    <w:rPr>
      <w:rFonts w:ascii="宋体"/>
      <w:sz w:val="16"/>
      <w:szCs w:val="16"/>
    </w:rPr>
  </w:style>
  <w:style w:type="character" w:customStyle="1" w:styleId="193">
    <w:name w:val="标题 5 Char Char Char"/>
    <w:qFormat/>
    <w:uiPriority w:val="0"/>
    <w:rPr>
      <w:rFonts w:ascii="Calibri" w:hAnsi="Calibri"/>
      <w:b/>
      <w:bCs/>
      <w:kern w:val="2"/>
      <w:sz w:val="28"/>
      <w:szCs w:val="28"/>
    </w:rPr>
  </w:style>
  <w:style w:type="character" w:customStyle="1" w:styleId="194">
    <w:name w:val="font161"/>
    <w:qFormat/>
    <w:uiPriority w:val="0"/>
    <w:rPr>
      <w:b/>
      <w:bCs/>
      <w:sz w:val="32"/>
      <w:szCs w:val="32"/>
    </w:rPr>
  </w:style>
  <w:style w:type="character" w:customStyle="1" w:styleId="195">
    <w:name w:val="明显引用 Char3"/>
    <w:qFormat/>
    <w:uiPriority w:val="30"/>
    <w:rPr>
      <w:b/>
      <w:bCs/>
      <w:i/>
      <w:iCs/>
      <w:color w:val="4F81BD"/>
      <w:kern w:val="2"/>
      <w:sz w:val="21"/>
      <w:szCs w:val="24"/>
    </w:rPr>
  </w:style>
  <w:style w:type="character" w:customStyle="1" w:styleId="196">
    <w:name w:val="content1"/>
    <w:qFormat/>
    <w:uiPriority w:val="0"/>
    <w:rPr>
      <w:rFonts w:hint="default" w:ascii="Arial" w:hAnsi="Arial" w:eastAsia="宋体" w:cs="Arial"/>
      <w:kern w:val="2"/>
      <w:sz w:val="21"/>
      <w:szCs w:val="21"/>
      <w:lang w:val="en-US" w:eastAsia="zh-CN" w:bidi="ar-SA"/>
    </w:rPr>
  </w:style>
  <w:style w:type="character" w:customStyle="1" w:styleId="197">
    <w:name w:val="正文文本 Char Char Char"/>
    <w:qFormat/>
    <w:uiPriority w:val="0"/>
    <w:rPr>
      <w:kern w:val="2"/>
      <w:sz w:val="21"/>
      <w:szCs w:val="24"/>
    </w:rPr>
  </w:style>
  <w:style w:type="character" w:customStyle="1" w:styleId="198">
    <w:name w:val="标题 4 Char Char Char"/>
    <w:qFormat/>
    <w:uiPriority w:val="0"/>
    <w:rPr>
      <w:rFonts w:ascii="Arial" w:hAnsi="Arial" w:eastAsia="黑体"/>
      <w:b/>
      <w:bCs/>
      <w:kern w:val="2"/>
      <w:sz w:val="28"/>
      <w:szCs w:val="28"/>
    </w:rPr>
  </w:style>
  <w:style w:type="character" w:customStyle="1" w:styleId="199">
    <w:name w:val="一级条标题 Char"/>
    <w:qFormat/>
    <w:uiPriority w:val="0"/>
    <w:rPr>
      <w:rFonts w:eastAsia="黑体"/>
      <w:kern w:val="2"/>
      <w:sz w:val="21"/>
      <w:szCs w:val="24"/>
      <w:lang w:val="en-US" w:eastAsia="zh-CN" w:bidi="ar-SA"/>
    </w:rPr>
  </w:style>
  <w:style w:type="character" w:customStyle="1" w:styleId="200">
    <w:name w:val="标题 1 Char Char"/>
    <w:qFormat/>
    <w:uiPriority w:val="0"/>
    <w:rPr>
      <w:rFonts w:eastAsia="黑体"/>
      <w:spacing w:val="-4"/>
      <w:kern w:val="2"/>
      <w:sz w:val="44"/>
      <w:lang w:val="en-US" w:eastAsia="zh-CN" w:bidi="ar-SA"/>
    </w:rPr>
  </w:style>
  <w:style w:type="character" w:customStyle="1" w:styleId="201">
    <w:name w:val="明显参考2"/>
    <w:qFormat/>
    <w:uiPriority w:val="0"/>
    <w:rPr>
      <w:b/>
      <w:bCs/>
      <w:smallCaps/>
      <w:color w:val="C0504D"/>
      <w:spacing w:val="5"/>
      <w:u w:val="single"/>
    </w:rPr>
  </w:style>
  <w:style w:type="character" w:customStyle="1" w:styleId="202">
    <w:name w:val="Char Char"/>
    <w:qFormat/>
    <w:uiPriority w:val="0"/>
    <w:rPr>
      <w:rFonts w:ascii="宋体" w:hAnsi="Courier New" w:eastAsia="宋体"/>
      <w:kern w:val="2"/>
      <w:sz w:val="21"/>
      <w:lang w:val="en-US" w:eastAsia="zh-CN" w:bidi="ar-SA"/>
    </w:rPr>
  </w:style>
  <w:style w:type="character" w:customStyle="1" w:styleId="203">
    <w:name w:val="标题 9 Char Char"/>
    <w:qFormat/>
    <w:uiPriority w:val="0"/>
    <w:rPr>
      <w:rFonts w:ascii="Cambria" w:hAnsi="Cambria" w:eastAsia="宋体" w:cs="Times New Roman"/>
      <w:kern w:val="2"/>
      <w:sz w:val="21"/>
      <w:szCs w:val="21"/>
    </w:rPr>
  </w:style>
  <w:style w:type="character" w:customStyle="1" w:styleId="204">
    <w:name w:val="15"/>
    <w:qFormat/>
    <w:uiPriority w:val="0"/>
    <w:rPr>
      <w:rFonts w:hint="default" w:ascii="Times New Roman" w:hAnsi="Times New Roman" w:cs="Times New Roman"/>
      <w:color w:val="0000FF"/>
      <w:sz w:val="20"/>
      <w:szCs w:val="20"/>
      <w:u w:val="single"/>
    </w:rPr>
  </w:style>
  <w:style w:type="character" w:customStyle="1" w:styleId="205">
    <w:name w:val="批注框文本 Char1"/>
    <w:qFormat/>
    <w:uiPriority w:val="0"/>
    <w:rPr>
      <w:kern w:val="2"/>
      <w:sz w:val="18"/>
      <w:szCs w:val="18"/>
    </w:rPr>
  </w:style>
  <w:style w:type="character" w:customStyle="1" w:styleId="206">
    <w:name w:val="Char Char20"/>
    <w:qFormat/>
    <w:uiPriority w:val="0"/>
    <w:rPr>
      <w:rFonts w:ascii="Cambria" w:hAnsi="Cambria" w:cs="Times New Roman"/>
      <w:b/>
      <w:bCs/>
      <w:kern w:val="2"/>
      <w:sz w:val="32"/>
      <w:szCs w:val="32"/>
    </w:rPr>
  </w:style>
  <w:style w:type="character" w:customStyle="1" w:styleId="207">
    <w:name w:val="标题 2 Char Char"/>
    <w:qFormat/>
    <w:uiPriority w:val="0"/>
    <w:rPr>
      <w:rFonts w:ascii="Arial" w:hAnsi="Arial" w:eastAsia="黑体"/>
      <w:b/>
      <w:bCs/>
      <w:kern w:val="2"/>
      <w:sz w:val="30"/>
      <w:szCs w:val="32"/>
      <w:lang w:val="en-US" w:eastAsia="zh-CN" w:bidi="ar-SA"/>
    </w:rPr>
  </w:style>
  <w:style w:type="character" w:customStyle="1" w:styleId="208">
    <w:name w:val="二级条标题 Char Char"/>
    <w:link w:val="209"/>
    <w:qFormat/>
    <w:uiPriority w:val="0"/>
    <w:rPr>
      <w:rFonts w:eastAsia="黑体"/>
    </w:rPr>
  </w:style>
  <w:style w:type="paragraph" w:customStyle="1" w:styleId="209">
    <w:name w:val="二级条标题"/>
    <w:basedOn w:val="1"/>
    <w:next w:val="1"/>
    <w:link w:val="208"/>
    <w:qFormat/>
    <w:uiPriority w:val="0"/>
    <w:pPr>
      <w:widowControl/>
      <w:tabs>
        <w:tab w:val="left" w:pos="1680"/>
      </w:tabs>
      <w:ind w:left="1680" w:hanging="420"/>
      <w:jc w:val="left"/>
      <w:outlineLvl w:val="3"/>
    </w:pPr>
    <w:rPr>
      <w:rFonts w:eastAsia="黑体"/>
    </w:rPr>
  </w:style>
  <w:style w:type="character" w:customStyle="1" w:styleId="210">
    <w:name w:val="H2 Char"/>
    <w:qFormat/>
    <w:uiPriority w:val="0"/>
    <w:rPr>
      <w:rFonts w:ascii="Arial" w:hAnsi="Arial" w:eastAsia="黑体"/>
      <w:b/>
      <w:bCs/>
      <w:kern w:val="2"/>
      <w:sz w:val="32"/>
      <w:szCs w:val="32"/>
      <w:lang w:val="en-US" w:eastAsia="zh-CN" w:bidi="ar-SA"/>
    </w:rPr>
  </w:style>
  <w:style w:type="character" w:customStyle="1" w:styleId="211">
    <w:name w:val="副标题 Char2"/>
    <w:qFormat/>
    <w:uiPriority w:val="11"/>
    <w:rPr>
      <w:rFonts w:ascii="Cambria" w:hAnsi="Cambria" w:cs="Times New Roman"/>
      <w:b/>
      <w:bCs/>
      <w:kern w:val="28"/>
      <w:sz w:val="32"/>
      <w:szCs w:val="32"/>
    </w:rPr>
  </w:style>
  <w:style w:type="character" w:customStyle="1" w:styleId="212">
    <w:name w:val="样式 样式 标题 2 + Times New Roman 四号 非加粗 段前: 5 磅 段后: 0 磅 行距: 固定值 20..... Char"/>
    <w:link w:val="213"/>
    <w:qFormat/>
    <w:uiPriority w:val="0"/>
    <w:rPr>
      <w:sz w:val="30"/>
    </w:rPr>
  </w:style>
  <w:style w:type="paragraph" w:customStyle="1" w:styleId="213">
    <w:name w:val="样式 样式 标题 2 + Times New Roman 四号 非加粗 段前: 5 磅 段后: 0 磅 行距: 固定值 20....."/>
    <w:basedOn w:val="161"/>
    <w:link w:val="212"/>
    <w:qFormat/>
    <w:uiPriority w:val="0"/>
    <w:pPr>
      <w:jc w:val="center"/>
    </w:pPr>
    <w:rPr>
      <w:rFonts w:asciiTheme="minorHAnsi" w:hAnsiTheme="minorHAnsi" w:eastAsiaTheme="minorEastAsia" w:cstheme="minorBidi"/>
      <w:kern w:val="2"/>
      <w:sz w:val="30"/>
      <w:szCs w:val="22"/>
    </w:rPr>
  </w:style>
  <w:style w:type="character" w:customStyle="1" w:styleId="214">
    <w:name w:val="书籍标题1"/>
    <w:qFormat/>
    <w:uiPriority w:val="0"/>
    <w:rPr>
      <w:b/>
      <w:bCs/>
      <w:smallCaps/>
      <w:spacing w:val="5"/>
    </w:rPr>
  </w:style>
  <w:style w:type="character" w:customStyle="1" w:styleId="215">
    <w:name w:val="批注框文本 Char Char"/>
    <w:qFormat/>
    <w:uiPriority w:val="0"/>
    <w:rPr>
      <w:rFonts w:ascii="宋体" w:hAnsi="Times New Roman"/>
      <w:sz w:val="18"/>
      <w:szCs w:val="18"/>
    </w:rPr>
  </w:style>
  <w:style w:type="character" w:customStyle="1" w:styleId="216">
    <w:name w:val="纯文本 Char Char"/>
    <w:qFormat/>
    <w:uiPriority w:val="0"/>
    <w:rPr>
      <w:rFonts w:ascii="宋体" w:hAnsi="Courier New" w:eastAsia="宋体"/>
      <w:kern w:val="2"/>
      <w:sz w:val="21"/>
      <w:szCs w:val="24"/>
      <w:lang w:val="en-US" w:eastAsia="zh-CN" w:bidi="ar-SA"/>
    </w:rPr>
  </w:style>
  <w:style w:type="character" w:customStyle="1" w:styleId="217">
    <w:name w:val="不明显参考1"/>
    <w:qFormat/>
    <w:uiPriority w:val="0"/>
    <w:rPr>
      <w:smallCaps/>
      <w:color w:val="C0504D"/>
      <w:u w:val="single"/>
    </w:rPr>
  </w:style>
  <w:style w:type="character" w:customStyle="1" w:styleId="218">
    <w:name w:val="标题4 Char Char"/>
    <w:link w:val="219"/>
    <w:qFormat/>
    <w:uiPriority w:val="0"/>
    <w:rPr>
      <w:rFonts w:ascii="Arial" w:hAnsi="Arial"/>
      <w:b/>
      <w:bCs/>
      <w:sz w:val="24"/>
      <w:szCs w:val="32"/>
    </w:rPr>
  </w:style>
  <w:style w:type="paragraph" w:customStyle="1" w:styleId="219">
    <w:name w:val="标题4"/>
    <w:basedOn w:val="6"/>
    <w:next w:val="26"/>
    <w:link w:val="218"/>
    <w:qFormat/>
    <w:uiPriority w:val="0"/>
    <w:pPr>
      <w:spacing w:line="413" w:lineRule="auto"/>
    </w:pPr>
    <w:rPr>
      <w:rFonts w:eastAsiaTheme="minorEastAsia" w:cstheme="minorBidi"/>
      <w:sz w:val="24"/>
    </w:rPr>
  </w:style>
  <w:style w:type="character" w:customStyle="1" w:styleId="220">
    <w:name w:val="正文文本缩进 Char1"/>
    <w:semiHidden/>
    <w:qFormat/>
    <w:uiPriority w:val="99"/>
    <w:rPr>
      <w:rFonts w:ascii="宋体"/>
      <w:sz w:val="34"/>
    </w:rPr>
  </w:style>
  <w:style w:type="character" w:customStyle="1" w:styleId="221">
    <w:name w:val="Char Char27"/>
    <w:qFormat/>
    <w:uiPriority w:val="0"/>
    <w:rPr>
      <w:rFonts w:ascii="Cambria" w:hAnsi="Cambria" w:eastAsia="宋体" w:cs="Times New Roman"/>
      <w:kern w:val="2"/>
      <w:sz w:val="21"/>
      <w:szCs w:val="21"/>
    </w:rPr>
  </w:style>
  <w:style w:type="character" w:customStyle="1" w:styleId="222">
    <w:name w:val="Char Char25"/>
    <w:qFormat/>
    <w:uiPriority w:val="0"/>
    <w:rPr>
      <w:rFonts w:eastAsia="宋体"/>
      <w:kern w:val="2"/>
      <w:sz w:val="21"/>
      <w:szCs w:val="24"/>
      <w:shd w:val="clear" w:color="auto" w:fill="000080"/>
      <w:lang w:val="en-US" w:eastAsia="zh-CN" w:bidi="ar-SA"/>
    </w:rPr>
  </w:style>
  <w:style w:type="character" w:customStyle="1" w:styleId="223">
    <w:name w:val="日期 Char2"/>
    <w:qFormat/>
    <w:uiPriority w:val="99"/>
    <w:rPr>
      <w:rFonts w:ascii="宋体" w:eastAsia="宋体"/>
      <w:kern w:val="2"/>
      <w:sz w:val="28"/>
      <w:szCs w:val="24"/>
      <w:lang w:val="en-US" w:eastAsia="zh-CN" w:bidi="ar-SA"/>
    </w:rPr>
  </w:style>
  <w:style w:type="character" w:customStyle="1" w:styleId="224">
    <w:name w:val="文档结构图 Char Char"/>
    <w:link w:val="225"/>
    <w:qFormat/>
    <w:uiPriority w:val="0"/>
    <w:rPr>
      <w:szCs w:val="24"/>
      <w:shd w:val="clear" w:color="auto" w:fill="000080"/>
    </w:rPr>
  </w:style>
  <w:style w:type="paragraph" w:customStyle="1" w:styleId="225">
    <w:name w:val="文档结构图1"/>
    <w:basedOn w:val="1"/>
    <w:link w:val="224"/>
    <w:qFormat/>
    <w:uiPriority w:val="0"/>
    <w:pPr>
      <w:shd w:val="clear" w:color="auto" w:fill="000080"/>
    </w:pPr>
    <w:rPr>
      <w:szCs w:val="24"/>
      <w:shd w:val="clear" w:color="auto" w:fill="000080"/>
    </w:rPr>
  </w:style>
  <w:style w:type="character" w:customStyle="1" w:styleId="226">
    <w:name w:val="正文文本缩进 2 Char1"/>
    <w:semiHidden/>
    <w:qFormat/>
    <w:uiPriority w:val="99"/>
    <w:rPr>
      <w:rFonts w:ascii="宋体"/>
      <w:sz w:val="34"/>
    </w:rPr>
  </w:style>
  <w:style w:type="character" w:customStyle="1" w:styleId="227">
    <w:name w:val="批注引用1"/>
    <w:qFormat/>
    <w:uiPriority w:val="0"/>
    <w:rPr>
      <w:rFonts w:cs="Times New Roman"/>
      <w:sz w:val="21"/>
      <w:szCs w:val="21"/>
    </w:rPr>
  </w:style>
  <w:style w:type="character" w:customStyle="1" w:styleId="228">
    <w:name w:val="文档结构图 Char1"/>
    <w:qFormat/>
    <w:uiPriority w:val="0"/>
    <w:rPr>
      <w:rFonts w:ascii="宋体"/>
      <w:kern w:val="2"/>
      <w:sz w:val="18"/>
      <w:szCs w:val="18"/>
    </w:rPr>
  </w:style>
  <w:style w:type="character" w:customStyle="1" w:styleId="229">
    <w:name w:val="textcontents"/>
    <w:qFormat/>
    <w:uiPriority w:val="0"/>
    <w:rPr>
      <w:rFonts w:cs="Times New Roman"/>
    </w:rPr>
  </w:style>
  <w:style w:type="character" w:customStyle="1" w:styleId="230">
    <w:name w:val="Char Char29"/>
    <w:qFormat/>
    <w:uiPriority w:val="0"/>
    <w:rPr>
      <w:rFonts w:eastAsia="宋体"/>
      <w:bCs/>
      <w:kern w:val="2"/>
      <w:sz w:val="28"/>
      <w:szCs w:val="24"/>
      <w:lang w:val="en-US" w:eastAsia="zh-CN" w:bidi="ar-SA"/>
    </w:rPr>
  </w:style>
  <w:style w:type="character" w:customStyle="1" w:styleId="231">
    <w:name w:val="标题 Char1"/>
    <w:qFormat/>
    <w:uiPriority w:val="10"/>
    <w:rPr>
      <w:rFonts w:ascii="Cambria" w:hAnsi="Cambria" w:cs="Times New Roman"/>
      <w:b/>
      <w:bCs/>
      <w:sz w:val="32"/>
      <w:szCs w:val="32"/>
    </w:rPr>
  </w:style>
  <w:style w:type="character" w:customStyle="1" w:styleId="232">
    <w:name w:val="Char Char31"/>
    <w:qFormat/>
    <w:uiPriority w:val="0"/>
    <w:rPr>
      <w:b/>
      <w:bCs/>
      <w:kern w:val="2"/>
      <w:sz w:val="28"/>
      <w:szCs w:val="28"/>
    </w:rPr>
  </w:style>
  <w:style w:type="character" w:customStyle="1" w:styleId="233">
    <w:name w:val="Char Char21"/>
    <w:qFormat/>
    <w:uiPriority w:val="0"/>
    <w:rPr>
      <w:rFonts w:ascii="Cambria" w:hAnsi="Cambria" w:cs="Times New Roman"/>
      <w:b/>
      <w:bCs/>
      <w:kern w:val="28"/>
      <w:sz w:val="32"/>
      <w:szCs w:val="32"/>
    </w:rPr>
  </w:style>
  <w:style w:type="character" w:customStyle="1" w:styleId="234">
    <w:name w:val="Char Char35"/>
    <w:qFormat/>
    <w:uiPriority w:val="0"/>
    <w:rPr>
      <w:rFonts w:eastAsia="黑体"/>
      <w:b/>
      <w:bCs/>
      <w:kern w:val="32"/>
      <w:sz w:val="32"/>
      <w:szCs w:val="44"/>
      <w:lang w:val="en-US" w:eastAsia="zh-CN" w:bidi="ar-SA"/>
    </w:rPr>
  </w:style>
  <w:style w:type="character" w:customStyle="1" w:styleId="235">
    <w:name w:val="批注主题 Char1"/>
    <w:qFormat/>
    <w:uiPriority w:val="0"/>
    <w:rPr>
      <w:b/>
      <w:bCs/>
      <w:kern w:val="2"/>
      <w:sz w:val="21"/>
      <w:szCs w:val="22"/>
    </w:rPr>
  </w:style>
  <w:style w:type="character" w:customStyle="1" w:styleId="236">
    <w:name w:val="Char Char34"/>
    <w:qFormat/>
    <w:uiPriority w:val="0"/>
    <w:rPr>
      <w:rFonts w:ascii="Arial" w:hAnsi="Arial" w:eastAsia="宋体"/>
      <w:b/>
      <w:bCs/>
      <w:kern w:val="24"/>
      <w:sz w:val="24"/>
      <w:szCs w:val="32"/>
      <w:lang w:val="en-US" w:eastAsia="zh-CN" w:bidi="ar-SA"/>
    </w:rPr>
  </w:style>
  <w:style w:type="character" w:customStyle="1" w:styleId="237">
    <w:name w:val="文档结构图 Char2"/>
    <w:qFormat/>
    <w:uiPriority w:val="99"/>
    <w:rPr>
      <w:rFonts w:eastAsia="宋体"/>
      <w:kern w:val="2"/>
      <w:sz w:val="21"/>
      <w:szCs w:val="24"/>
      <w:shd w:val="clear" w:color="auto" w:fill="000080"/>
      <w:lang w:val="en-US" w:eastAsia="zh-CN" w:bidi="ar-SA"/>
    </w:rPr>
  </w:style>
  <w:style w:type="character" w:customStyle="1" w:styleId="238">
    <w:name w:val="样式 标题 2 + Char"/>
    <w:link w:val="239"/>
    <w:qFormat/>
    <w:uiPriority w:val="0"/>
    <w:rPr>
      <w:sz w:val="28"/>
    </w:rPr>
  </w:style>
  <w:style w:type="paragraph" w:customStyle="1" w:styleId="239">
    <w:name w:val="样式 标题 2 +"/>
    <w:basedOn w:val="6"/>
    <w:link w:val="238"/>
    <w:qFormat/>
    <w:uiPriority w:val="0"/>
    <w:pPr>
      <w:spacing w:before="0" w:after="0"/>
      <w:jc w:val="left"/>
    </w:pPr>
    <w:rPr>
      <w:rFonts w:asciiTheme="minorHAnsi" w:hAnsiTheme="minorHAnsi" w:eastAsiaTheme="minorEastAsia" w:cstheme="minorBidi"/>
      <w:b w:val="0"/>
      <w:bCs w:val="0"/>
      <w:sz w:val="28"/>
      <w:szCs w:val="22"/>
    </w:rPr>
  </w:style>
  <w:style w:type="character" w:customStyle="1" w:styleId="240">
    <w:name w:val="不明显参考11"/>
    <w:qFormat/>
    <w:uiPriority w:val="0"/>
    <w:rPr>
      <w:smallCaps/>
      <w:color w:val="C0504D"/>
      <w:u w:val="single"/>
    </w:rPr>
  </w:style>
  <w:style w:type="character" w:customStyle="1" w:styleId="241">
    <w:name w:val="书籍标题11"/>
    <w:qFormat/>
    <w:uiPriority w:val="0"/>
    <w:rPr>
      <w:b/>
      <w:bCs/>
      <w:smallCaps/>
      <w:spacing w:val="5"/>
    </w:rPr>
  </w:style>
  <w:style w:type="character" w:customStyle="1" w:styleId="242">
    <w:name w:val="明显引用 Char Char Char"/>
    <w:link w:val="243"/>
    <w:qFormat/>
    <w:uiPriority w:val="0"/>
    <w:rPr>
      <w:b/>
      <w:bCs/>
      <w:i/>
      <w:iCs/>
      <w:color w:val="4F81BD"/>
    </w:rPr>
  </w:style>
  <w:style w:type="paragraph" w:customStyle="1" w:styleId="243">
    <w:name w:val="明显引用1"/>
    <w:basedOn w:val="1"/>
    <w:next w:val="1"/>
    <w:link w:val="242"/>
    <w:qFormat/>
    <w:uiPriority w:val="0"/>
    <w:pPr>
      <w:pBdr>
        <w:bottom w:val="single" w:color="4F81BD" w:sz="4" w:space="4"/>
      </w:pBdr>
      <w:spacing w:before="200" w:after="280"/>
      <w:ind w:left="936" w:right="936"/>
    </w:pPr>
    <w:rPr>
      <w:b/>
      <w:bCs/>
      <w:i/>
      <w:iCs/>
      <w:color w:val="4F81BD"/>
    </w:rPr>
  </w:style>
  <w:style w:type="character" w:customStyle="1" w:styleId="244">
    <w:name w:val="正文文本 Char1"/>
    <w:qFormat/>
    <w:uiPriority w:val="0"/>
    <w:rPr>
      <w:kern w:val="2"/>
      <w:sz w:val="21"/>
      <w:szCs w:val="22"/>
    </w:rPr>
  </w:style>
  <w:style w:type="character" w:customStyle="1" w:styleId="245">
    <w:name w:val="标题 4 Char Char"/>
    <w:qFormat/>
    <w:uiPriority w:val="0"/>
    <w:rPr>
      <w:rFonts w:ascii="Cambria" w:hAnsi="Cambria" w:eastAsia="宋体" w:cs="Times New Roman"/>
      <w:b/>
      <w:bCs/>
      <w:kern w:val="2"/>
      <w:sz w:val="28"/>
      <w:szCs w:val="28"/>
    </w:rPr>
  </w:style>
  <w:style w:type="character" w:customStyle="1" w:styleId="246">
    <w:name w:val="文一 Char"/>
    <w:link w:val="247"/>
    <w:qFormat/>
    <w:uiPriority w:val="0"/>
    <w:rPr>
      <w:rFonts w:ascii="Tahoma" w:hAnsi="Tahoma"/>
      <w:snapToGrid w:val="0"/>
      <w:spacing w:val="4"/>
      <w:sz w:val="24"/>
      <w:szCs w:val="24"/>
    </w:rPr>
  </w:style>
  <w:style w:type="paragraph" w:customStyle="1" w:styleId="247">
    <w:name w:val="文一"/>
    <w:basedOn w:val="1"/>
    <w:link w:val="246"/>
    <w:qFormat/>
    <w:uiPriority w:val="0"/>
    <w:pPr>
      <w:topLinePunct/>
      <w:adjustRightInd w:val="0"/>
      <w:snapToGrid w:val="0"/>
      <w:spacing w:line="360" w:lineRule="auto"/>
      <w:ind w:firstLine="200" w:firstLineChars="200"/>
    </w:pPr>
    <w:rPr>
      <w:rFonts w:ascii="Tahoma" w:hAnsi="Tahoma"/>
      <w:snapToGrid w:val="0"/>
      <w:spacing w:val="4"/>
      <w:sz w:val="24"/>
      <w:szCs w:val="24"/>
    </w:rPr>
  </w:style>
  <w:style w:type="character" w:customStyle="1" w:styleId="248">
    <w:name w:val="Char Char41"/>
    <w:qFormat/>
    <w:locked/>
    <w:uiPriority w:val="0"/>
    <w:rPr>
      <w:rFonts w:ascii="宋体" w:hAnsi="Courier New" w:eastAsia="宋体"/>
      <w:kern w:val="2"/>
      <w:sz w:val="21"/>
      <w:lang w:val="en-US" w:eastAsia="zh-CN" w:bidi="ar-SA"/>
    </w:rPr>
  </w:style>
  <w:style w:type="character" w:customStyle="1" w:styleId="249">
    <w:name w:val="页脚 Char Char Char"/>
    <w:qFormat/>
    <w:uiPriority w:val="0"/>
    <w:rPr>
      <w:kern w:val="2"/>
      <w:sz w:val="18"/>
      <w:szCs w:val="18"/>
    </w:rPr>
  </w:style>
  <w:style w:type="character" w:customStyle="1" w:styleId="250">
    <w:name w:val="引用 Char4"/>
    <w:qFormat/>
    <w:uiPriority w:val="29"/>
    <w:rPr>
      <w:i/>
      <w:iCs/>
      <w:color w:val="000000"/>
      <w:kern w:val="2"/>
      <w:sz w:val="21"/>
      <w:szCs w:val="24"/>
    </w:rPr>
  </w:style>
  <w:style w:type="character" w:customStyle="1" w:styleId="251">
    <w:name w:val="font5 Char"/>
    <w:link w:val="252"/>
    <w:qFormat/>
    <w:uiPriority w:val="0"/>
    <w:rPr>
      <w:rFonts w:ascii="Arial" w:hAnsi="Arial" w:cs="Arial"/>
      <w:color w:val="000000"/>
      <w:sz w:val="18"/>
      <w:szCs w:val="18"/>
    </w:rPr>
  </w:style>
  <w:style w:type="paragraph" w:customStyle="1" w:styleId="252">
    <w:name w:val="font5"/>
    <w:basedOn w:val="1"/>
    <w:link w:val="251"/>
    <w:qFormat/>
    <w:uiPriority w:val="0"/>
    <w:pPr>
      <w:widowControl/>
      <w:spacing w:before="100" w:beforeAutospacing="1" w:after="100" w:afterAutospacing="1"/>
      <w:jc w:val="left"/>
    </w:pPr>
    <w:rPr>
      <w:rFonts w:ascii="Arial" w:hAnsi="Arial" w:cs="Arial"/>
      <w:color w:val="000000"/>
      <w:sz w:val="18"/>
      <w:szCs w:val="18"/>
    </w:rPr>
  </w:style>
  <w:style w:type="character" w:customStyle="1" w:styleId="253">
    <w:name w:val="普通 (Web) Char Char"/>
    <w:link w:val="254"/>
    <w:qFormat/>
    <w:uiPriority w:val="0"/>
    <w:rPr>
      <w:rFonts w:ascii="宋体" w:hAnsi="宋体" w:cstheme="minorBidi"/>
      <w:kern w:val="2"/>
      <w:sz w:val="24"/>
      <w:szCs w:val="24"/>
    </w:rPr>
  </w:style>
  <w:style w:type="paragraph" w:customStyle="1" w:styleId="254">
    <w:name w:val="普通 (Web)"/>
    <w:basedOn w:val="1"/>
    <w:link w:val="253"/>
    <w:qFormat/>
    <w:uiPriority w:val="0"/>
    <w:pPr>
      <w:ind w:firstLine="23"/>
      <w:jc w:val="center"/>
    </w:pPr>
    <w:rPr>
      <w:rFonts w:ascii="宋体" w:hAnsi="宋体" w:eastAsia="宋体"/>
      <w:sz w:val="24"/>
      <w:szCs w:val="24"/>
    </w:rPr>
  </w:style>
  <w:style w:type="character" w:customStyle="1" w:styleId="255">
    <w:name w:val="副标题 Char Char"/>
    <w:qFormat/>
    <w:uiPriority w:val="0"/>
    <w:rPr>
      <w:rFonts w:ascii="Cambria" w:hAnsi="Cambria" w:cs="Times New Roman"/>
      <w:b/>
      <w:bCs/>
      <w:kern w:val="28"/>
      <w:sz w:val="32"/>
      <w:szCs w:val="32"/>
    </w:rPr>
  </w:style>
  <w:style w:type="paragraph" w:customStyle="1" w:styleId="256">
    <w:name w:val="正文缩进_0"/>
    <w:basedOn w:val="46"/>
    <w:next w:val="48"/>
    <w:qFormat/>
    <w:uiPriority w:val="0"/>
    <w:pPr>
      <w:ind w:firstLine="420"/>
    </w:pPr>
    <w:rPr>
      <w:rFonts w:ascii="Times New Roman" w:hAnsi="Times New Roman" w:cs="Times New Roman"/>
      <w:szCs w:val="24"/>
    </w:rPr>
  </w:style>
  <w:style w:type="paragraph" w:customStyle="1" w:styleId="257">
    <w:name w:val="普通 (Web) New"/>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Char"/>
    <w:basedOn w:val="1"/>
    <w:qFormat/>
    <w:uiPriority w:val="0"/>
    <w:pPr>
      <w:tabs>
        <w:tab w:val="left" w:pos="480"/>
      </w:tabs>
      <w:ind w:left="480" w:hanging="480"/>
    </w:pPr>
    <w:rPr>
      <w:rFonts w:ascii="Times New Roman" w:hAnsi="Times New Roman" w:eastAsia="宋体" w:cs="Times New Roman"/>
      <w:sz w:val="24"/>
      <w:szCs w:val="24"/>
    </w:rPr>
  </w:style>
  <w:style w:type="paragraph" w:customStyle="1" w:styleId="261">
    <w:name w:val="列出段落1"/>
    <w:basedOn w:val="1"/>
    <w:qFormat/>
    <w:uiPriority w:val="0"/>
    <w:pPr>
      <w:ind w:firstLine="420" w:firstLineChars="200"/>
    </w:pPr>
    <w:rPr>
      <w:rFonts w:ascii="Calibri" w:hAnsi="Calibri" w:eastAsia="宋体" w:cs="Times New Roman"/>
      <w:kern w:val="0"/>
      <w:sz w:val="34"/>
    </w:rPr>
  </w:style>
  <w:style w:type="paragraph" w:customStyle="1" w:styleId="262">
    <w:name w:val="Char Char Char Char Char Char Char"/>
    <w:basedOn w:val="1"/>
    <w:qFormat/>
    <w:uiPriority w:val="0"/>
    <w:rPr>
      <w:rFonts w:ascii="Tahoma" w:hAnsi="Tahoma" w:eastAsia="宋体" w:cs="Times New Roman"/>
      <w:sz w:val="24"/>
      <w:szCs w:val="20"/>
    </w:rPr>
  </w:style>
  <w:style w:type="paragraph" w:customStyle="1" w:styleId="263">
    <w:name w:val="Char2"/>
    <w:basedOn w:val="1"/>
    <w:qFormat/>
    <w:uiPriority w:val="0"/>
    <w:pPr>
      <w:tabs>
        <w:tab w:val="left" w:pos="960"/>
      </w:tabs>
      <w:ind w:left="960" w:hanging="480"/>
    </w:pPr>
    <w:rPr>
      <w:rFonts w:ascii="Times New Roman" w:hAnsi="Times New Roman" w:eastAsia="宋体" w:cs="Times New Roman"/>
      <w:sz w:val="24"/>
      <w:szCs w:val="24"/>
    </w:rPr>
  </w:style>
  <w:style w:type="paragraph" w:customStyle="1" w:styleId="264">
    <w:name w:val="Char Char Char Char Char Char Char Char Char Char Char"/>
    <w:basedOn w:val="8"/>
    <w:qFormat/>
    <w:uiPriority w:val="0"/>
    <w:pPr>
      <w:ind w:left="3"/>
    </w:pPr>
    <w:rPr>
      <w:rFonts w:ascii="Times New Roman" w:hAnsi="Times New Roman" w:eastAsia="宋体"/>
      <w:b w:val="0"/>
      <w:bCs w:val="0"/>
      <w:sz w:val="24"/>
      <w:szCs w:val="24"/>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66">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267">
    <w:name w:val="样式2"/>
    <w:basedOn w:val="1"/>
    <w:qFormat/>
    <w:uiPriority w:val="0"/>
    <w:pPr>
      <w:spacing w:line="500" w:lineRule="exact"/>
      <w:jc w:val="center"/>
    </w:pPr>
    <w:rPr>
      <w:rFonts w:ascii="黑体" w:hAnsi="宋体" w:eastAsia="黑体" w:cs="Times New Roman"/>
      <w:b/>
      <w:bCs/>
      <w:sz w:val="36"/>
      <w:szCs w:val="24"/>
    </w:rPr>
  </w:style>
  <w:style w:type="paragraph" w:customStyle="1" w:styleId="2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6'"/>
    <w:basedOn w:val="1"/>
    <w:qFormat/>
    <w:uiPriority w:val="0"/>
    <w:pPr>
      <w:autoSpaceDE w:val="0"/>
      <w:autoSpaceDN w:val="0"/>
      <w:adjustRightInd w:val="0"/>
      <w:snapToGrid w:val="0"/>
      <w:spacing w:line="320" w:lineRule="exact"/>
      <w:jc w:val="center"/>
    </w:pPr>
    <w:rPr>
      <w:rFonts w:ascii="Times New Roman" w:hAnsi="Times New Roman" w:eastAsia="宋体" w:cs="Times New Roman"/>
      <w:spacing w:val="20"/>
      <w:kern w:val="28"/>
      <w:szCs w:val="20"/>
    </w:rPr>
  </w:style>
  <w:style w:type="paragraph" w:customStyle="1" w:styleId="27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71">
    <w:name w:val="p16"/>
    <w:basedOn w:val="1"/>
    <w:qFormat/>
    <w:uiPriority w:val="0"/>
    <w:pPr>
      <w:widowControl/>
      <w:ind w:left="840"/>
    </w:pPr>
    <w:rPr>
      <w:rFonts w:ascii="Calibri" w:hAnsi="Calibri" w:eastAsia="宋体" w:cs="宋体"/>
      <w:kern w:val="0"/>
      <w:sz w:val="34"/>
      <w:szCs w:val="21"/>
    </w:rPr>
  </w:style>
  <w:style w:type="paragraph" w:customStyle="1" w:styleId="272">
    <w:name w:val="Char Char Char Char Char Char1 Char Char Char"/>
    <w:basedOn w:val="1"/>
    <w:qFormat/>
    <w:uiPriority w:val="0"/>
    <w:pPr>
      <w:tabs>
        <w:tab w:val="left" w:pos="480"/>
      </w:tabs>
      <w:ind w:left="480" w:hanging="480"/>
    </w:pPr>
    <w:rPr>
      <w:rFonts w:ascii="Times New Roman" w:hAnsi="Times New Roman" w:eastAsia="宋体" w:cs="Times New Roman"/>
      <w:sz w:val="24"/>
      <w:szCs w:val="24"/>
    </w:rPr>
  </w:style>
  <w:style w:type="paragraph" w:customStyle="1" w:styleId="273">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274">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275">
    <w:name w:val="页眉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76">
    <w:name w:val="普通(网站)1"/>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customStyle="1" w:styleId="277">
    <w:name w:val="前言、引言标题"/>
    <w:next w:val="1"/>
    <w:qFormat/>
    <w:uiPriority w:val="0"/>
    <w:pPr>
      <w:shd w:val="clear" w:color="FFFFFF" w:fill="FFFFFF"/>
      <w:tabs>
        <w:tab w:val="left" w:pos="840"/>
      </w:tabs>
      <w:spacing w:before="640" w:after="560"/>
      <w:ind w:left="840" w:hanging="840"/>
      <w:jc w:val="center"/>
      <w:outlineLvl w:val="0"/>
    </w:pPr>
    <w:rPr>
      <w:rFonts w:ascii="黑体" w:hAnsi="Times New Roman" w:eastAsia="黑体" w:cs="Times New Roman"/>
      <w:sz w:val="32"/>
      <w:lang w:val="en-US" w:eastAsia="zh-CN" w:bidi="ar-SA"/>
    </w:rPr>
  </w:style>
  <w:style w:type="paragraph" w:customStyle="1" w:styleId="278">
    <w:name w:val="样式5"/>
    <w:basedOn w:val="267"/>
    <w:qFormat/>
    <w:uiPriority w:val="0"/>
  </w:style>
  <w:style w:type="paragraph" w:customStyle="1" w:styleId="27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color w:val="FF6600"/>
      <w:kern w:val="0"/>
      <w:sz w:val="18"/>
      <w:szCs w:val="18"/>
    </w:rPr>
  </w:style>
  <w:style w:type="paragraph" w:customStyle="1" w:styleId="280">
    <w:name w:val="p18"/>
    <w:basedOn w:val="1"/>
    <w:qFormat/>
    <w:uiPriority w:val="0"/>
    <w:pPr>
      <w:widowControl/>
      <w:ind w:left="1050"/>
    </w:pPr>
    <w:rPr>
      <w:rFonts w:ascii="Calibri" w:hAnsi="Calibri" w:eastAsia="宋体" w:cs="宋体"/>
      <w:kern w:val="0"/>
      <w:sz w:val="34"/>
      <w:szCs w:val="21"/>
    </w:rPr>
  </w:style>
  <w:style w:type="paragraph" w:customStyle="1" w:styleId="281">
    <w:name w:val="Char2 Char Char Char Char Char Char"/>
    <w:basedOn w:val="1"/>
    <w:qFormat/>
    <w:uiPriority w:val="0"/>
    <w:pPr>
      <w:widowControl/>
      <w:spacing w:after="160" w:line="240" w:lineRule="exact"/>
      <w:jc w:val="left"/>
    </w:pPr>
    <w:rPr>
      <w:rFonts w:ascii="宋体" w:hAnsi="宋体" w:eastAsia="宋体" w:cs="宋体"/>
      <w:kern w:val="0"/>
      <w:sz w:val="24"/>
      <w:szCs w:val="24"/>
    </w:rPr>
  </w:style>
  <w:style w:type="paragraph" w:customStyle="1" w:styleId="282">
    <w:name w:val="TOC 标题1"/>
    <w:basedOn w:val="2"/>
    <w:next w:val="1"/>
    <w:qFormat/>
    <w:uiPriority w:val="0"/>
    <w:pPr>
      <w:spacing w:line="576" w:lineRule="auto"/>
      <w:outlineLvl w:val="9"/>
    </w:pPr>
    <w:rPr>
      <w:rFonts w:ascii="Calibri" w:hAnsi="Calibri"/>
    </w:rPr>
  </w:style>
  <w:style w:type="paragraph" w:customStyle="1" w:styleId="283">
    <w:name w:val="bt6"/>
    <w:basedOn w:val="1"/>
    <w:qFormat/>
    <w:uiPriority w:val="0"/>
    <w:pPr>
      <w:spacing w:after="120" w:line="300" w:lineRule="auto"/>
      <w:ind w:firstLine="425"/>
      <w:outlineLvl w:val="5"/>
    </w:pPr>
    <w:rPr>
      <w:rFonts w:ascii="Times New Roman" w:hAnsi="Times New Roman" w:eastAsia="宋体" w:cs="Times New Roman"/>
      <w:b/>
      <w:sz w:val="24"/>
      <w:szCs w:val="20"/>
    </w:rPr>
  </w:style>
  <w:style w:type="paragraph" w:customStyle="1" w:styleId="284">
    <w:name w:val="p17"/>
    <w:basedOn w:val="1"/>
    <w:qFormat/>
    <w:uiPriority w:val="0"/>
    <w:pPr>
      <w:widowControl/>
      <w:ind w:left="630"/>
    </w:pPr>
    <w:rPr>
      <w:rFonts w:ascii="Calibri" w:hAnsi="Calibri" w:eastAsia="宋体" w:cs="宋体"/>
      <w:kern w:val="0"/>
      <w:sz w:val="34"/>
      <w:szCs w:val="21"/>
    </w:rPr>
  </w:style>
  <w:style w:type="paragraph" w:customStyle="1" w:styleId="285">
    <w:name w:val="默认段落字体 Para Char"/>
    <w:basedOn w:val="1"/>
    <w:qFormat/>
    <w:uiPriority w:val="0"/>
    <w:rPr>
      <w:rFonts w:ascii="Times New Roman" w:hAnsi="Times New Roman" w:eastAsia="宋体" w:cs="Times New Roman"/>
      <w:sz w:val="30"/>
      <w:szCs w:val="24"/>
    </w:rPr>
  </w:style>
  <w:style w:type="paragraph" w:customStyle="1" w:styleId="286">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b/>
      <w:bCs/>
      <w:kern w:val="0"/>
      <w:sz w:val="24"/>
      <w:szCs w:val="24"/>
    </w:rPr>
  </w:style>
  <w:style w:type="paragraph" w:customStyle="1" w:styleId="28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Char Char1 Char Char Char"/>
    <w:basedOn w:val="1"/>
    <w:qFormat/>
    <w:uiPriority w:val="0"/>
    <w:rPr>
      <w:rFonts w:ascii="宋体" w:hAnsi="Times New Roman" w:eastAsia="宋体" w:cs="Times New Roman"/>
      <w:kern w:val="0"/>
      <w:sz w:val="20"/>
      <w:szCs w:val="20"/>
    </w:rPr>
  </w:style>
  <w:style w:type="paragraph" w:customStyle="1" w:styleId="289">
    <w:name w:val="页脚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90">
    <w:name w:val="Char1"/>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291">
    <w:name w:val="样式6"/>
    <w:basedOn w:val="292"/>
    <w:qFormat/>
    <w:uiPriority w:val="0"/>
  </w:style>
  <w:style w:type="paragraph" w:customStyle="1" w:styleId="292">
    <w:name w:val="样式3"/>
    <w:basedOn w:val="1"/>
    <w:qFormat/>
    <w:uiPriority w:val="0"/>
    <w:pPr>
      <w:ind w:firstLine="562" w:firstLineChars="200"/>
    </w:pPr>
    <w:rPr>
      <w:rFonts w:ascii="Times New Roman" w:hAnsi="Times New Roman" w:eastAsia="黑体" w:cs="Times New Roman"/>
      <w:b/>
      <w:bCs/>
      <w:sz w:val="28"/>
      <w:szCs w:val="24"/>
    </w:rPr>
  </w:style>
  <w:style w:type="paragraph" w:customStyle="1" w:styleId="293">
    <w:name w:val="页脚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94">
    <w:name w:val="默认段落字体 Para Char Char Char Char Char Char Char"/>
    <w:basedOn w:val="1"/>
    <w:qFormat/>
    <w:uiPriority w:val="0"/>
    <w:rPr>
      <w:rFonts w:ascii="Tahoma" w:hAnsi="Tahoma" w:eastAsia="宋体" w:cs="Tahoma"/>
      <w:sz w:val="24"/>
      <w:szCs w:val="24"/>
    </w:rPr>
  </w:style>
  <w:style w:type="paragraph" w:customStyle="1" w:styleId="295">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96">
    <w:name w:val="页脚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97">
    <w:name w:val="正文文本 21"/>
    <w:basedOn w:val="1"/>
    <w:qFormat/>
    <w:uiPriority w:val="0"/>
    <w:pPr>
      <w:autoSpaceDE w:val="0"/>
      <w:autoSpaceDN w:val="0"/>
      <w:adjustRightInd w:val="0"/>
      <w:spacing w:line="380" w:lineRule="atLeast"/>
      <w:textAlignment w:val="baseline"/>
    </w:pPr>
    <w:rPr>
      <w:rFonts w:ascii="宋体" w:hAnsi="Times New Roman" w:eastAsia="宋体" w:cs="Times New Roman"/>
      <w:spacing w:val="10"/>
      <w:kern w:val="0"/>
      <w:sz w:val="24"/>
      <w:szCs w:val="20"/>
    </w:rPr>
  </w:style>
  <w:style w:type="paragraph" w:customStyle="1" w:styleId="298">
    <w:name w:val="Char4"/>
    <w:basedOn w:val="1"/>
    <w:qFormat/>
    <w:uiPriority w:val="0"/>
    <w:rPr>
      <w:rFonts w:ascii="宋体" w:hAnsi="Times New Roman" w:eastAsia="宋体" w:cs="Times New Roman"/>
      <w:kern w:val="0"/>
      <w:sz w:val="34"/>
      <w:szCs w:val="20"/>
    </w:rPr>
  </w:style>
  <w:style w:type="paragraph" w:customStyle="1" w:styleId="29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color w:val="FF0000"/>
      <w:kern w:val="0"/>
      <w:sz w:val="18"/>
      <w:szCs w:val="18"/>
    </w:rPr>
  </w:style>
  <w:style w:type="paragraph" w:customStyle="1" w:styleId="300">
    <w:name w:val="空半行"/>
    <w:basedOn w:val="1"/>
    <w:qFormat/>
    <w:uiPriority w:val="0"/>
    <w:pPr>
      <w:adjustRightInd w:val="0"/>
      <w:spacing w:line="120" w:lineRule="exact"/>
      <w:textAlignment w:val="baseline"/>
    </w:pPr>
    <w:rPr>
      <w:rFonts w:ascii="宋体" w:hAnsi="Times New Roman" w:eastAsia="仿宋_GB2312" w:cs="Times New Roman"/>
      <w:color w:val="FFFFFF"/>
      <w:kern w:val="0"/>
      <w:sz w:val="30"/>
      <w:szCs w:val="20"/>
    </w:rPr>
  </w:style>
  <w:style w:type="paragraph" w:customStyle="1" w:styleId="301">
    <w:name w:val="默认段落字体 Para Char Char Char Char"/>
    <w:basedOn w:val="1"/>
    <w:qFormat/>
    <w:uiPriority w:val="0"/>
    <w:rPr>
      <w:rFonts w:ascii="Times New Roman" w:hAnsi="Times New Roman" w:eastAsia="宋体" w:cs="Times New Roman"/>
      <w:sz w:val="24"/>
      <w:szCs w:val="24"/>
    </w:rPr>
  </w:style>
  <w:style w:type="paragraph" w:customStyle="1" w:styleId="302">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303">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04">
    <w:name w:val="Char11"/>
    <w:basedOn w:val="1"/>
    <w:qFormat/>
    <w:uiPriority w:val="0"/>
    <w:rPr>
      <w:rFonts w:ascii="Times New Roman" w:hAnsi="Times New Roman" w:eastAsia="宋体" w:cs="Times New Roman"/>
      <w:sz w:val="24"/>
      <w:szCs w:val="24"/>
    </w:rPr>
  </w:style>
  <w:style w:type="paragraph" w:customStyle="1" w:styleId="305">
    <w:name w:val="修订1"/>
    <w:qFormat/>
    <w:uiPriority w:val="0"/>
    <w:rPr>
      <w:rFonts w:ascii="Times New Roman" w:hAnsi="Times New Roman" w:eastAsia="宋体" w:cs="Times New Roman"/>
      <w:kern w:val="2"/>
      <w:sz w:val="21"/>
      <w:szCs w:val="24"/>
      <w:lang w:val="en-US" w:eastAsia="zh-CN" w:bidi="ar-SA"/>
    </w:rPr>
  </w:style>
  <w:style w:type="paragraph" w:customStyle="1" w:styleId="30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7">
    <w:name w:val="正文缩进1"/>
    <w:basedOn w:val="1"/>
    <w:qFormat/>
    <w:uiPriority w:val="0"/>
    <w:pPr>
      <w:adjustRightInd w:val="0"/>
      <w:spacing w:line="360" w:lineRule="atLeast"/>
      <w:ind w:firstLine="482"/>
      <w:textAlignment w:val="baseline"/>
    </w:pPr>
    <w:rPr>
      <w:rFonts w:ascii="宋体" w:hAnsi="Times New Roman" w:eastAsia="宋体" w:cs="Times New Roman"/>
      <w:kern w:val="0"/>
      <w:sz w:val="24"/>
      <w:szCs w:val="20"/>
    </w:rPr>
  </w:style>
  <w:style w:type="paragraph" w:customStyle="1" w:styleId="308">
    <w:name w:val="Normal_0"/>
    <w:qFormat/>
    <w:uiPriority w:val="0"/>
    <w:rPr>
      <w:rFonts w:ascii="黑体" w:hAnsi="黑体" w:eastAsia="黑体" w:cs="Times New Roman"/>
      <w:b/>
      <w:sz w:val="32"/>
      <w:szCs w:val="24"/>
      <w:lang w:val="en-US" w:eastAsia="zh-CN" w:bidi="ar-SA"/>
    </w:rPr>
  </w:style>
  <w:style w:type="paragraph" w:customStyle="1" w:styleId="309">
    <w:name w:val="封面标准文稿编辑信息"/>
    <w:qFormat/>
    <w:uiPriority w:val="0"/>
    <w:pPr>
      <w:tabs>
        <w:tab w:val="left" w:pos="2100"/>
      </w:tabs>
      <w:spacing w:before="180" w:line="180" w:lineRule="exact"/>
      <w:ind w:hanging="420"/>
      <w:jc w:val="center"/>
    </w:pPr>
    <w:rPr>
      <w:rFonts w:ascii="宋体" w:hAnsi="Times New Roman" w:eastAsia="宋体" w:cs="Times New Roman"/>
      <w:sz w:val="21"/>
      <w:lang w:val="en-US" w:eastAsia="zh-CN" w:bidi="ar-SA"/>
    </w:rPr>
  </w:style>
  <w:style w:type="paragraph" w:customStyle="1" w:styleId="310">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1">
    <w:name w:val="TOC 标题2"/>
    <w:basedOn w:val="2"/>
    <w:next w:val="1"/>
    <w:qFormat/>
    <w:uiPriority w:val="39"/>
    <w:pPr>
      <w:spacing w:line="576" w:lineRule="auto"/>
      <w:outlineLvl w:val="9"/>
    </w:pPr>
    <w:rPr>
      <w:rFonts w:ascii="Calibri" w:hAnsi="Calibri"/>
    </w:rPr>
  </w:style>
  <w:style w:type="paragraph" w:customStyle="1" w:styleId="312">
    <w:name w:val="样式4"/>
    <w:basedOn w:val="313"/>
    <w:qFormat/>
    <w:uiPriority w:val="0"/>
    <w:pPr>
      <w:spacing w:before="0" w:after="0" w:line="500" w:lineRule="exact"/>
      <w:jc w:val="center"/>
    </w:pPr>
    <w:rPr>
      <w:rFonts w:ascii="Times New Roman" w:hAnsi="Times New Roman" w:eastAsia="黑体"/>
      <w:bCs/>
      <w:sz w:val="44"/>
      <w:szCs w:val="24"/>
    </w:rPr>
  </w:style>
  <w:style w:type="paragraph" w:customStyle="1" w:styleId="313">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314">
    <w:name w:val="页眉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315">
    <w:name w:val="章标题"/>
    <w:next w:val="1"/>
    <w:qFormat/>
    <w:uiPriority w:val="0"/>
    <w:pPr>
      <w:tabs>
        <w:tab w:val="left" w:pos="840"/>
      </w:tabs>
      <w:spacing w:before="156" w:beforeLines="50" w:after="156" w:afterLines="50"/>
      <w:ind w:left="840" w:hanging="420"/>
      <w:jc w:val="both"/>
      <w:outlineLvl w:val="1"/>
    </w:pPr>
    <w:rPr>
      <w:rFonts w:ascii="黑体" w:hAnsi="Times New Roman" w:eastAsia="黑体" w:cs="Times New Roman"/>
      <w:sz w:val="21"/>
      <w:lang w:val="en-US" w:eastAsia="zh-CN" w:bidi="ar-SA"/>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color w:val="000000"/>
      <w:kern w:val="0"/>
      <w:sz w:val="18"/>
      <w:szCs w:val="18"/>
    </w:rPr>
  </w:style>
  <w:style w:type="paragraph" w:customStyle="1" w:styleId="31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Times New Roman"/>
    <w:basedOn w:val="8"/>
    <w:qFormat/>
    <w:uiPriority w:val="0"/>
    <w:pPr>
      <w:spacing w:before="0" w:after="0" w:line="400" w:lineRule="exact"/>
    </w:pPr>
    <w:rPr>
      <w:rFonts w:ascii="Times New Roman" w:hAnsi="Times New Roman" w:eastAsia="宋体"/>
      <w:b w:val="0"/>
      <w:szCs w:val="24"/>
    </w:rPr>
  </w:style>
  <w:style w:type="paragraph" w:customStyle="1" w:styleId="320">
    <w:name w:val="索引 41"/>
    <w:basedOn w:val="1"/>
    <w:next w:val="1"/>
    <w:qFormat/>
    <w:uiPriority w:val="0"/>
    <w:pPr>
      <w:ind w:left="600" w:leftChars="600"/>
    </w:pPr>
    <w:rPr>
      <w:rFonts w:ascii="宋体" w:hAnsi="Times New Roman" w:eastAsia="宋体" w:cs="Times New Roman"/>
      <w:kern w:val="0"/>
      <w:sz w:val="34"/>
      <w:szCs w:val="20"/>
    </w:rPr>
  </w:style>
  <w:style w:type="paragraph" w:customStyle="1" w:styleId="321">
    <w:name w:val="列项——（一级）"/>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32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32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Char3"/>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325">
    <w:name w:val="Char Char Char Char Char Char"/>
    <w:basedOn w:val="1"/>
    <w:qFormat/>
    <w:uiPriority w:val="0"/>
    <w:pPr>
      <w:tabs>
        <w:tab w:val="left" w:pos="0"/>
      </w:tabs>
      <w:ind w:left="170" w:hanging="170"/>
    </w:pPr>
    <w:rPr>
      <w:rFonts w:ascii="Times New Roman" w:hAnsi="Times New Roman" w:eastAsia="宋体" w:cs="Times New Roman"/>
      <w:szCs w:val="24"/>
    </w:rPr>
  </w:style>
  <w:style w:type="paragraph" w:customStyle="1" w:styleId="326">
    <w:name w:val="三级条标题"/>
    <w:basedOn w:val="209"/>
    <w:next w:val="1"/>
    <w:qFormat/>
    <w:uiPriority w:val="0"/>
    <w:pPr>
      <w:tabs>
        <w:tab w:val="left" w:pos="360"/>
        <w:tab w:val="left" w:pos="3420"/>
        <w:tab w:val="clear" w:pos="1680"/>
      </w:tabs>
      <w:ind w:left="105"/>
      <w:outlineLvl w:val="4"/>
    </w:pPr>
  </w:style>
  <w:style w:type="paragraph" w:customStyle="1" w:styleId="327">
    <w:name w:val="font9"/>
    <w:basedOn w:val="1"/>
    <w:qFormat/>
    <w:uiPriority w:val="0"/>
    <w:pPr>
      <w:widowControl/>
      <w:spacing w:before="100" w:beforeAutospacing="1" w:after="100" w:afterAutospacing="1"/>
      <w:jc w:val="left"/>
    </w:pPr>
    <w:rPr>
      <w:rFonts w:ascii="Arial" w:hAnsi="Arial" w:eastAsia="宋体" w:cs="Arial"/>
      <w:color w:val="339966"/>
      <w:kern w:val="0"/>
      <w:sz w:val="18"/>
      <w:szCs w:val="18"/>
    </w:rPr>
  </w:style>
  <w:style w:type="paragraph" w:customStyle="1" w:styleId="3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9">
    <w:name w:val="Char Char Char Char Char Char1"/>
    <w:basedOn w:val="1"/>
    <w:qFormat/>
    <w:uiPriority w:val="0"/>
    <w:pPr>
      <w:tabs>
        <w:tab w:val="left" w:pos="480"/>
      </w:tabs>
      <w:ind w:left="480" w:hanging="480"/>
    </w:pPr>
    <w:rPr>
      <w:rFonts w:ascii="Times New Roman" w:hAnsi="Times New Roman" w:eastAsia="宋体" w:cs="Times New Roman"/>
      <w:sz w:val="24"/>
      <w:szCs w:val="24"/>
    </w:rPr>
  </w:style>
  <w:style w:type="paragraph" w:customStyle="1" w:styleId="330">
    <w:name w:val="1"/>
    <w:basedOn w:val="1"/>
    <w:next w:val="1"/>
    <w:qFormat/>
    <w:uiPriority w:val="0"/>
    <w:rPr>
      <w:rFonts w:ascii="宋体" w:hAnsi="Times New Roman" w:eastAsia="宋体" w:cs="Times New Roman"/>
      <w:kern w:val="0"/>
      <w:sz w:val="34"/>
      <w:szCs w:val="20"/>
    </w:rPr>
  </w:style>
  <w:style w:type="paragraph" w:customStyle="1" w:styleId="331">
    <w:name w:val="标题2"/>
    <w:basedOn w:val="1"/>
    <w:next w:val="6"/>
    <w:qFormat/>
    <w:uiPriority w:val="0"/>
    <w:pPr>
      <w:tabs>
        <w:tab w:val="left" w:pos="1440"/>
      </w:tabs>
      <w:spacing w:line="500" w:lineRule="exact"/>
      <w:ind w:left="648" w:hanging="648"/>
      <w:jc w:val="center"/>
    </w:pPr>
    <w:rPr>
      <w:rFonts w:ascii="宋体" w:hAnsi="宋体" w:eastAsia="宋体" w:cs="Times New Roman"/>
      <w:b/>
      <w:bCs/>
      <w:sz w:val="30"/>
      <w:szCs w:val="24"/>
    </w:rPr>
  </w:style>
  <w:style w:type="paragraph" w:customStyle="1" w:styleId="332">
    <w:name w:val="font7"/>
    <w:basedOn w:val="1"/>
    <w:qFormat/>
    <w:uiPriority w:val="0"/>
    <w:pPr>
      <w:widowControl/>
      <w:spacing w:before="100" w:beforeAutospacing="1" w:after="100" w:afterAutospacing="1"/>
      <w:jc w:val="left"/>
    </w:pPr>
    <w:rPr>
      <w:rFonts w:hint="eastAsia" w:ascii="宋体" w:hAnsi="宋体" w:eastAsia="宋体" w:cs="Times New Roman"/>
      <w:color w:val="000000"/>
      <w:kern w:val="0"/>
      <w:sz w:val="18"/>
      <w:szCs w:val="18"/>
    </w:rPr>
  </w:style>
  <w:style w:type="paragraph" w:customStyle="1" w:styleId="333">
    <w:name w:val="页眉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334">
    <w:name w:val="页脚 New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335">
    <w:name w:val="页眉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3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7">
    <w:name w:val="font8"/>
    <w:basedOn w:val="1"/>
    <w:qFormat/>
    <w:uiPriority w:val="0"/>
    <w:pPr>
      <w:widowControl/>
      <w:spacing w:before="100" w:beforeAutospacing="1" w:after="100" w:afterAutospacing="1"/>
      <w:jc w:val="left"/>
    </w:pPr>
    <w:rPr>
      <w:rFonts w:ascii="Arial" w:hAnsi="Arial" w:eastAsia="宋体" w:cs="Arial"/>
      <w:color w:val="FF0000"/>
      <w:kern w:val="0"/>
      <w:sz w:val="18"/>
      <w:szCs w:val="18"/>
    </w:rPr>
  </w:style>
  <w:style w:type="paragraph" w:customStyle="1" w:styleId="338">
    <w:name w:val="表格"/>
    <w:basedOn w:val="1"/>
    <w:qFormat/>
    <w:uiPriority w:val="0"/>
    <w:pPr>
      <w:jc w:val="center"/>
      <w:textAlignment w:val="center"/>
    </w:pPr>
    <w:rPr>
      <w:rFonts w:ascii="华文细黑" w:hAnsi="华文细黑" w:eastAsia="宋体" w:cs="Times New Roman"/>
      <w:kern w:val="0"/>
      <w:sz w:val="34"/>
      <w:szCs w:val="20"/>
    </w:rPr>
  </w:style>
  <w:style w:type="paragraph" w:customStyle="1" w:styleId="339">
    <w:name w:val="_Style 66"/>
    <w:basedOn w:val="1"/>
    <w:qFormat/>
    <w:uiPriority w:val="0"/>
    <w:rPr>
      <w:rFonts w:ascii="宋体" w:hAnsi="Times New Roman" w:eastAsia="宋体" w:cs="Times New Roman"/>
      <w:kern w:val="0"/>
      <w:sz w:val="34"/>
      <w:szCs w:val="20"/>
    </w:rPr>
  </w:style>
  <w:style w:type="paragraph" w:customStyle="1" w:styleId="340">
    <w:name w:val="p0"/>
    <w:basedOn w:val="1"/>
    <w:link w:val="341"/>
    <w:qFormat/>
    <w:uiPriority w:val="0"/>
    <w:pPr>
      <w:widowControl/>
    </w:pPr>
    <w:rPr>
      <w:rFonts w:ascii="宋体" w:hAnsi="Times New Roman" w:eastAsia="宋体" w:cs="Times New Roman"/>
      <w:kern w:val="0"/>
      <w:sz w:val="34"/>
      <w:szCs w:val="21"/>
    </w:rPr>
  </w:style>
  <w:style w:type="character" w:customStyle="1" w:styleId="341">
    <w:name w:val="p0 Char Char"/>
    <w:link w:val="340"/>
    <w:qFormat/>
    <w:uiPriority w:val="0"/>
    <w:rPr>
      <w:rFonts w:ascii="宋体" w:hAnsi="Times New Roman" w:eastAsia="宋体" w:cs="Times New Roman"/>
      <w:kern w:val="0"/>
      <w:sz w:val="34"/>
      <w:szCs w:val="21"/>
    </w:rPr>
  </w:style>
  <w:style w:type="paragraph" w:styleId="342">
    <w:name w:val="List Paragraph"/>
    <w:basedOn w:val="1"/>
    <w:qFormat/>
    <w:uiPriority w:val="0"/>
    <w:pPr>
      <w:ind w:firstLine="420" w:firstLineChars="200"/>
    </w:pPr>
    <w:rPr>
      <w:rFonts w:ascii="Calibri" w:hAnsi="Calibri" w:eastAsia="宋体" w:cs="Times New Roman"/>
      <w:kern w:val="0"/>
      <w:sz w:val="34"/>
    </w:rPr>
  </w:style>
  <w:style w:type="paragraph" w:customStyle="1" w:styleId="343">
    <w:name w:val="修订11"/>
    <w:qFormat/>
    <w:uiPriority w:val="0"/>
    <w:rPr>
      <w:rFonts w:ascii="Times New Roman" w:hAnsi="Times New Roman" w:eastAsia="宋体" w:cs="Times New Roman"/>
      <w:kern w:val="2"/>
      <w:sz w:val="21"/>
      <w:szCs w:val="24"/>
      <w:lang w:val="en-US" w:eastAsia="zh-CN" w:bidi="ar-SA"/>
    </w:rPr>
  </w:style>
  <w:style w:type="paragraph" w:customStyle="1" w:styleId="344">
    <w:name w:val="表格文字"/>
    <w:basedOn w:val="1"/>
    <w:qFormat/>
    <w:uiPriority w:val="0"/>
    <w:pPr>
      <w:adjustRightInd w:val="0"/>
      <w:spacing w:line="420" w:lineRule="atLeast"/>
      <w:jc w:val="left"/>
      <w:textAlignment w:val="baseline"/>
    </w:pPr>
    <w:rPr>
      <w:rFonts w:ascii="宋体" w:hAnsi="Times New Roman" w:eastAsia="宋体" w:cs="Times New Roman"/>
      <w:kern w:val="0"/>
      <w:sz w:val="34"/>
      <w:szCs w:val="20"/>
    </w:rPr>
  </w:style>
  <w:style w:type="paragraph" w:customStyle="1" w:styleId="345">
    <w:name w:val="font6"/>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46">
    <w:name w:val="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b/>
      <w:bCs/>
      <w:kern w:val="0"/>
      <w:sz w:val="24"/>
      <w:szCs w:val="24"/>
    </w:rPr>
  </w:style>
  <w:style w:type="paragraph" w:customStyle="1" w:styleId="348">
    <w:name w:val="Char Char Char Char Char1 Char"/>
    <w:basedOn w:val="1"/>
    <w:qFormat/>
    <w:uiPriority w:val="0"/>
    <w:rPr>
      <w:rFonts w:ascii="宋体" w:hAnsi="Times New Roman" w:eastAsia="宋体" w:cs="Times New Roman"/>
      <w:kern w:val="0"/>
      <w:sz w:val="34"/>
      <w:szCs w:val="20"/>
    </w:rPr>
  </w:style>
  <w:style w:type="paragraph" w:customStyle="1" w:styleId="349">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color w:val="000000"/>
      <w:kern w:val="0"/>
      <w:sz w:val="18"/>
      <w:szCs w:val="18"/>
    </w:rPr>
  </w:style>
  <w:style w:type="paragraph" w:customStyle="1" w:styleId="350">
    <w:name w:val="xl3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Arial Unicode MS" w:hAnsi="Arial Unicode MS" w:eastAsia="宋体" w:cs="Times New Roman"/>
      <w:b/>
      <w:bCs/>
      <w:color w:val="000000"/>
      <w:kern w:val="0"/>
      <w:sz w:val="24"/>
      <w:szCs w:val="24"/>
    </w:rPr>
  </w:style>
  <w:style w:type="paragraph" w:customStyle="1" w:styleId="351">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color w:val="FF0000"/>
      <w:kern w:val="0"/>
      <w:sz w:val="18"/>
      <w:szCs w:val="18"/>
    </w:rPr>
  </w:style>
  <w:style w:type="paragraph" w:customStyle="1" w:styleId="35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3">
    <w:name w:val="纯文本_4"/>
    <w:basedOn w:val="51"/>
    <w:qFormat/>
    <w:uiPriority w:val="0"/>
    <w:rPr>
      <w:rFonts w:ascii="Cambria" w:hAnsi="Cambria"/>
      <w:b/>
      <w:bCs/>
      <w:kern w:val="28"/>
      <w:sz w:val="32"/>
      <w:szCs w:val="32"/>
    </w:rPr>
  </w:style>
  <w:style w:type="paragraph" w:customStyle="1" w:styleId="354">
    <w:name w:val="正文文本_4"/>
    <w:basedOn w:val="51"/>
    <w:qFormat/>
    <w:uiPriority w:val="0"/>
    <w:pPr>
      <w:spacing w:after="120"/>
    </w:pPr>
  </w:style>
  <w:style w:type="character" w:customStyle="1" w:styleId="355">
    <w:name w:val="标题 2 Char2"/>
    <w:qFormat/>
    <w:uiPriority w:val="0"/>
    <w:rPr>
      <w:rFonts w:ascii="Arial" w:hAnsi="Arial" w:eastAsia="黑体"/>
      <w:b/>
      <w:bCs/>
      <w:kern w:val="2"/>
      <w:sz w:val="32"/>
      <w:szCs w:val="32"/>
      <w:lang w:val="en-US" w:eastAsia="zh-CN" w:bidi="ar-SA"/>
    </w:rPr>
  </w:style>
  <w:style w:type="paragraph" w:customStyle="1" w:styleId="356">
    <w:name w:val="cucd-0"/>
    <w:qFormat/>
    <w:uiPriority w:val="0"/>
    <w:pPr>
      <w:spacing w:line="360" w:lineRule="auto"/>
      <w:ind w:firstLine="480" w:firstLineChars="200"/>
    </w:pPr>
    <w:rPr>
      <w:rFonts w:ascii="Times New Roman" w:hAnsi="Times New Roman" w:eastAsia="宋体" w:cs="Times New Roman"/>
      <w:lang w:val="en-US" w:eastAsia="zh-CN" w:bidi="ar-SA"/>
    </w:rPr>
  </w:style>
  <w:style w:type="paragraph" w:customStyle="1" w:styleId="357">
    <w:name w:val="正文_22"/>
    <w:qFormat/>
    <w:uiPriority w:val="0"/>
    <w:pPr>
      <w:widowControl w:val="0"/>
      <w:jc w:val="both"/>
    </w:pPr>
    <w:rPr>
      <w:rFonts w:ascii="等线" w:hAnsi="等线" w:eastAsia="等线" w:cs="等线"/>
      <w:kern w:val="2"/>
      <w:sz w:val="21"/>
      <w:szCs w:val="22"/>
      <w:lang w:val="en-US" w:eastAsia="zh-CN" w:bidi="ar-SA"/>
    </w:rPr>
  </w:style>
  <w:style w:type="paragraph" w:customStyle="1" w:styleId="358">
    <w:name w:val="正文缩进_4_0"/>
    <w:basedOn w:val="359"/>
    <w:next w:val="360"/>
    <w:qFormat/>
    <w:uiPriority w:val="0"/>
    <w:pPr>
      <w:ind w:firstLine="420" w:firstLineChars="200"/>
    </w:pPr>
    <w:rPr>
      <w:rFonts w:ascii="等线" w:hAnsi="等线" w:eastAsia="等线"/>
    </w:rPr>
  </w:style>
  <w:style w:type="paragraph" w:customStyle="1" w:styleId="359">
    <w:name w:val="正文_7_0_0_0_0"/>
    <w:next w:val="3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0">
    <w:name w:val="正文_4_0_0"/>
    <w:next w:val="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Revision_0"/>
    <w:qFormat/>
    <w:uiPriority w:val="7"/>
    <w:rPr>
      <w:rFonts w:ascii="Times New Roman" w:hAnsi="Times New Roman" w:eastAsia="宋体" w:cs="Times New Roman"/>
      <w:kern w:val="2"/>
      <w:sz w:val="21"/>
      <w:szCs w:val="24"/>
      <w:lang w:val="en-US" w:eastAsia="zh-CN" w:bidi="ar-SA"/>
    </w:rPr>
  </w:style>
  <w:style w:type="paragraph" w:customStyle="1" w:styleId="362">
    <w:name w:val="正文_20"/>
    <w:qFormat/>
    <w:uiPriority w:val="0"/>
    <w:pPr>
      <w:widowControl w:val="0"/>
      <w:jc w:val="both"/>
    </w:pPr>
    <w:rPr>
      <w:rFonts w:ascii="Calibri" w:hAnsi="Calibri" w:eastAsia="宋体" w:cs="Calibri"/>
      <w:kern w:val="2"/>
      <w:sz w:val="21"/>
      <w:szCs w:val="22"/>
      <w:lang w:val="en-US" w:eastAsia="zh-CN" w:bidi="ar-SA"/>
    </w:rPr>
  </w:style>
  <w:style w:type="paragraph" w:customStyle="1" w:styleId="363">
    <w:name w:val="正文_5_0"/>
    <w:next w:val="3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4">
    <w:name w:val="正文_7_0_0_0"/>
    <w:next w:val="3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5">
    <w:name w:val="纯文本_1_1"/>
    <w:basedOn w:val="366"/>
    <w:qFormat/>
    <w:uiPriority w:val="0"/>
    <w:rPr>
      <w:rFonts w:ascii="Cambria" w:hAnsi="Cambria"/>
      <w:b/>
      <w:bCs/>
      <w:kern w:val="28"/>
      <w:sz w:val="32"/>
      <w:szCs w:val="32"/>
    </w:rPr>
  </w:style>
  <w:style w:type="paragraph" w:customStyle="1" w:styleId="366">
    <w:name w:val="正文_7_1"/>
    <w:next w:val="3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7">
    <w:name w:val="Normal_31"/>
    <w:qFormat/>
    <w:uiPriority w:val="0"/>
    <w:rPr>
      <w:rFonts w:ascii="黑体" w:hAnsi="黑体" w:eastAsia="黑体" w:cs="黑体"/>
      <w:b/>
      <w:sz w:val="32"/>
      <w:szCs w:val="24"/>
      <w:lang w:val="en-US" w:eastAsia="zh-CN" w:bidi="ar-SA"/>
    </w:rPr>
  </w:style>
  <w:style w:type="paragraph" w:customStyle="1" w:styleId="368">
    <w:name w:val="Normal_0_0"/>
    <w:qFormat/>
    <w:uiPriority w:val="0"/>
    <w:rPr>
      <w:rFonts w:ascii="黑体" w:hAnsi="黑体" w:eastAsia="黑体" w:cs="黑体"/>
      <w:b/>
      <w:sz w:val="32"/>
      <w:szCs w:val="24"/>
      <w:lang w:val="en-US" w:eastAsia="zh-CN" w:bidi="ar-SA"/>
    </w:rPr>
  </w:style>
  <w:style w:type="paragraph" w:customStyle="1" w:styleId="369">
    <w:name w:val="正文_6_0"/>
    <w:next w:val="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正文首行缩进_6_0"/>
    <w:basedOn w:val="371"/>
    <w:qFormat/>
    <w:uiPriority w:val="0"/>
    <w:pPr>
      <w:ind w:firstLine="420" w:firstLineChars="100"/>
    </w:pPr>
    <w:rPr>
      <w:rFonts w:ascii="Calibri" w:hAnsi="Calibri"/>
    </w:rPr>
  </w:style>
  <w:style w:type="paragraph" w:customStyle="1" w:styleId="371">
    <w:name w:val="正文文本_6_0"/>
    <w:basedOn w:val="369"/>
    <w:next w:val="372"/>
    <w:qFormat/>
    <w:uiPriority w:val="0"/>
    <w:pPr>
      <w:spacing w:after="120"/>
    </w:pPr>
  </w:style>
  <w:style w:type="paragraph" w:customStyle="1" w:styleId="372">
    <w:name w:val="正文文本 2_5_0"/>
    <w:basedOn w:val="369"/>
    <w:qFormat/>
    <w:uiPriority w:val="0"/>
  </w:style>
  <w:style w:type="paragraph" w:customStyle="1" w:styleId="373">
    <w:name w:val="Normal_25"/>
    <w:qFormat/>
    <w:uiPriority w:val="0"/>
    <w:rPr>
      <w:rFonts w:ascii="黑体" w:hAnsi="黑体" w:eastAsia="黑体" w:cs="黑体"/>
      <w:b/>
      <w:sz w:val="32"/>
      <w:szCs w:val="24"/>
      <w:lang w:val="en-US" w:eastAsia="zh-CN" w:bidi="ar-SA"/>
    </w:rPr>
  </w:style>
  <w:style w:type="paragraph" w:customStyle="1" w:styleId="374">
    <w:name w:val="正文_6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正文_2_0"/>
    <w:qFormat/>
    <w:uiPriority w:val="0"/>
    <w:pPr>
      <w:widowControl w:val="0"/>
      <w:jc w:val="both"/>
    </w:pPr>
    <w:rPr>
      <w:rFonts w:ascii="等线" w:hAnsi="等线" w:eastAsia="等线" w:cs="等线"/>
      <w:kern w:val="2"/>
      <w:sz w:val="21"/>
      <w:szCs w:val="22"/>
      <w:lang w:val="en-US" w:eastAsia="zh-CN" w:bidi="ar-SA"/>
    </w:rPr>
  </w:style>
  <w:style w:type="paragraph" w:customStyle="1" w:styleId="376">
    <w:name w:val="Normal_28"/>
    <w:qFormat/>
    <w:uiPriority w:val="0"/>
    <w:rPr>
      <w:rFonts w:ascii="黑体" w:hAnsi="黑体" w:eastAsia="黑体" w:cs="黑体"/>
      <w:b/>
      <w:sz w:val="32"/>
      <w:szCs w:val="24"/>
      <w:lang w:val="en-US" w:eastAsia="zh-CN" w:bidi="ar-SA"/>
    </w:rPr>
  </w:style>
  <w:style w:type="paragraph" w:customStyle="1" w:styleId="377">
    <w:name w:val="Normal_30"/>
    <w:qFormat/>
    <w:uiPriority w:val="0"/>
    <w:rPr>
      <w:rFonts w:ascii="黑体" w:hAnsi="黑体" w:eastAsia="黑体" w:cs="黑体"/>
      <w:b/>
      <w:sz w:val="32"/>
      <w:szCs w:val="24"/>
      <w:lang w:val="en-US" w:eastAsia="zh-CN" w:bidi="ar-SA"/>
    </w:rPr>
  </w:style>
  <w:style w:type="paragraph" w:customStyle="1" w:styleId="378">
    <w:name w:val="Normal_34"/>
    <w:qFormat/>
    <w:uiPriority w:val="0"/>
    <w:rPr>
      <w:rFonts w:ascii="黑体" w:hAnsi="黑体" w:eastAsia="黑体" w:cs="黑体"/>
      <w:b/>
      <w:sz w:val="32"/>
      <w:szCs w:val="24"/>
      <w:lang w:val="en-US" w:eastAsia="zh-CN" w:bidi="ar-SA"/>
    </w:rPr>
  </w:style>
  <w:style w:type="paragraph" w:customStyle="1" w:styleId="379">
    <w:name w:val="WW-正文缩进"/>
    <w:basedOn w:val="1"/>
    <w:next w:val="1"/>
    <w:qFormat/>
    <w:uiPriority w:val="2"/>
    <w:pPr>
      <w:ind w:firstLine="420"/>
    </w:pPr>
    <w:rPr>
      <w:rFonts w:ascii="Calibri" w:hAnsi="Calibri" w:eastAsia="宋体" w:cs="Calibri"/>
    </w:rPr>
  </w:style>
  <w:style w:type="paragraph" w:customStyle="1" w:styleId="380">
    <w:name w:val="正文_19"/>
    <w:next w:val="38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1">
    <w:name w:val="正文_17"/>
    <w:qFormat/>
    <w:uiPriority w:val="0"/>
    <w:pPr>
      <w:widowControl w:val="0"/>
      <w:jc w:val="both"/>
    </w:pPr>
    <w:rPr>
      <w:rFonts w:ascii="等线" w:hAnsi="等线" w:eastAsia="等线" w:cs="等线"/>
      <w:kern w:val="2"/>
      <w:sz w:val="21"/>
      <w:szCs w:val="22"/>
      <w:lang w:val="en-US" w:eastAsia="zh-CN" w:bidi="ar-SA"/>
    </w:rPr>
  </w:style>
  <w:style w:type="paragraph" w:customStyle="1" w:styleId="382">
    <w:name w:val="正文_5_0_0"/>
    <w:next w:val="46"/>
    <w:qFormat/>
    <w:uiPriority w:val="5"/>
    <w:pPr>
      <w:widowControl w:val="0"/>
      <w:jc w:val="both"/>
    </w:pPr>
    <w:rPr>
      <w:rFonts w:ascii="Times New Roman" w:hAnsi="Times New Roman" w:eastAsia="宋体" w:cs="Times New Roman"/>
      <w:kern w:val="2"/>
      <w:sz w:val="21"/>
      <w:szCs w:val="22"/>
      <w:lang w:val="en-US" w:eastAsia="zh-CN" w:bidi="ar-SA"/>
    </w:rPr>
  </w:style>
  <w:style w:type="paragraph" w:customStyle="1" w:styleId="383">
    <w:name w:val="正文_8_0"/>
    <w:qFormat/>
    <w:uiPriority w:val="0"/>
    <w:pPr>
      <w:widowControl w:val="0"/>
      <w:jc w:val="both"/>
    </w:pPr>
    <w:rPr>
      <w:rFonts w:ascii="等线" w:hAnsi="等线" w:eastAsia="等线" w:cs="等线"/>
      <w:kern w:val="2"/>
      <w:sz w:val="21"/>
      <w:szCs w:val="22"/>
      <w:lang w:val="en-US" w:eastAsia="zh-CN" w:bidi="ar-SA"/>
    </w:rPr>
  </w:style>
  <w:style w:type="paragraph" w:customStyle="1" w:styleId="384">
    <w:name w:val="批注文字_0"/>
    <w:basedOn w:val="363"/>
    <w:qFormat/>
    <w:uiPriority w:val="0"/>
    <w:pPr>
      <w:jc w:val="left"/>
    </w:pPr>
  </w:style>
  <w:style w:type="paragraph" w:customStyle="1" w:styleId="385">
    <w:name w:val="正文缩进_5"/>
    <w:basedOn w:val="44"/>
    <w:next w:val="386"/>
    <w:qFormat/>
    <w:uiPriority w:val="0"/>
    <w:pPr>
      <w:ind w:firstLine="420" w:firstLineChars="200"/>
    </w:pPr>
    <w:rPr>
      <w:rFonts w:ascii="Times New Roman" w:hAnsi="Times New Roman" w:cs="Times New Roman"/>
      <w:szCs w:val="24"/>
    </w:rPr>
  </w:style>
  <w:style w:type="paragraph" w:customStyle="1" w:styleId="386">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p0_0"/>
    <w:basedOn w:val="388"/>
    <w:qFormat/>
    <w:uiPriority w:val="0"/>
    <w:pPr>
      <w:widowControl/>
    </w:pPr>
    <w:rPr>
      <w:rFonts w:cs="Calibri"/>
      <w:kern w:val="0"/>
      <w:szCs w:val="21"/>
    </w:rPr>
  </w:style>
  <w:style w:type="paragraph" w:customStyle="1" w:styleId="388">
    <w:name w:val="正文_6_2"/>
    <w:basedOn w:val="389"/>
    <w:next w:val="393"/>
    <w:qFormat/>
    <w:uiPriority w:val="0"/>
  </w:style>
  <w:style w:type="paragraph" w:customStyle="1" w:styleId="389">
    <w:name w:val="正文_7_2"/>
    <w:next w:val="3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0">
    <w:name w:val="正文首行缩进_6_1"/>
    <w:basedOn w:val="391"/>
    <w:qFormat/>
    <w:uiPriority w:val="0"/>
    <w:pPr>
      <w:ind w:firstLine="420" w:firstLineChars="100"/>
    </w:pPr>
    <w:rPr>
      <w:rFonts w:ascii="Calibri" w:hAnsi="Calibri"/>
    </w:rPr>
  </w:style>
  <w:style w:type="paragraph" w:customStyle="1" w:styleId="391">
    <w:name w:val="正文文本_6_1"/>
    <w:basedOn w:val="389"/>
    <w:next w:val="392"/>
    <w:qFormat/>
    <w:uiPriority w:val="0"/>
    <w:pPr>
      <w:spacing w:after="120"/>
    </w:pPr>
    <w:rPr>
      <w:rFonts w:ascii="Times New Roman" w:hAnsi="Times New Roman"/>
    </w:rPr>
  </w:style>
  <w:style w:type="paragraph" w:customStyle="1" w:styleId="392">
    <w:name w:val="正文文本 2_5_1"/>
    <w:basedOn w:val="389"/>
    <w:qFormat/>
    <w:uiPriority w:val="0"/>
  </w:style>
  <w:style w:type="paragraph" w:customStyle="1" w:styleId="393">
    <w:name w:val="正文缩进_2_1"/>
    <w:basedOn w:val="394"/>
    <w:next w:val="398"/>
    <w:unhideWhenUsed/>
    <w:qFormat/>
    <w:uiPriority w:val="0"/>
    <w:pPr>
      <w:ind w:firstLine="420" w:firstLineChars="200"/>
    </w:pPr>
  </w:style>
  <w:style w:type="paragraph" w:customStyle="1" w:styleId="394">
    <w:name w:val="正文_6_1_1_1"/>
    <w:basedOn w:val="395"/>
    <w:next w:val="395"/>
    <w:qFormat/>
    <w:uiPriority w:val="0"/>
    <w:rPr>
      <w:rFonts w:ascii="Calibri" w:hAnsi="Calibri"/>
    </w:rPr>
  </w:style>
  <w:style w:type="paragraph" w:customStyle="1" w:styleId="395">
    <w:name w:val="正文_8_1_1"/>
    <w:next w:val="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正文缩进_7_1"/>
    <w:basedOn w:val="397"/>
    <w:qFormat/>
    <w:uiPriority w:val="0"/>
    <w:pPr>
      <w:ind w:firstLine="420" w:firstLineChars="200"/>
    </w:pPr>
    <w:rPr>
      <w:rFonts w:ascii="Calibri" w:hAnsi="Calibri"/>
    </w:rPr>
  </w:style>
  <w:style w:type="paragraph" w:customStyle="1" w:styleId="397">
    <w:name w:val="正文_18_1"/>
    <w:next w:val="396"/>
    <w:qFormat/>
    <w:uiPriority w:val="0"/>
    <w:pPr>
      <w:widowControl w:val="0"/>
      <w:jc w:val="both"/>
    </w:pPr>
    <w:rPr>
      <w:rFonts w:ascii="等线" w:hAnsi="等线" w:eastAsia="等线" w:cs="Times New Roman"/>
      <w:kern w:val="2"/>
      <w:sz w:val="21"/>
      <w:szCs w:val="22"/>
      <w:lang w:val="en-US" w:eastAsia="zh-CN" w:bidi="ar-SA"/>
    </w:rPr>
  </w:style>
  <w:style w:type="paragraph" w:customStyle="1" w:styleId="398">
    <w:name w:val="正文_1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正文_9"/>
    <w:next w:val="4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纯文本_6"/>
    <w:basedOn w:val="399"/>
    <w:qFormat/>
    <w:uiPriority w:val="0"/>
    <w:rPr>
      <w:rFonts w:ascii="Cambria" w:hAnsi="Cambria"/>
      <w:b/>
      <w:bCs/>
      <w:kern w:val="28"/>
      <w:sz w:val="32"/>
      <w:szCs w:val="32"/>
    </w:rPr>
  </w:style>
  <w:style w:type="paragraph" w:customStyle="1" w:styleId="401">
    <w:name w:val="标题 3_5"/>
    <w:basedOn w:val="399"/>
    <w:next w:val="399"/>
    <w:qFormat/>
    <w:uiPriority w:val="9"/>
    <w:pPr>
      <w:keepNext/>
      <w:keepLines/>
      <w:spacing w:line="415" w:lineRule="auto"/>
    </w:pPr>
    <w:rPr>
      <w:rFonts w:ascii="Calibri" w:hAnsi="Calibri" w:cs="Calibri"/>
      <w:b/>
      <w:bCs/>
      <w:sz w:val="32"/>
      <w:szCs w:val="32"/>
    </w:rPr>
  </w:style>
  <w:style w:type="paragraph" w:customStyle="1" w:styleId="402">
    <w:name w:val="正文_12_0"/>
    <w:qFormat/>
    <w:uiPriority w:val="0"/>
    <w:pPr>
      <w:widowControl w:val="0"/>
      <w:jc w:val="both"/>
    </w:pPr>
    <w:rPr>
      <w:rFonts w:ascii="Calibri" w:hAnsi="Calibri" w:eastAsia="宋体" w:cs="Calibri"/>
      <w:kern w:val="2"/>
      <w:sz w:val="21"/>
      <w:szCs w:val="22"/>
      <w:lang w:val="en-US" w:eastAsia="zh-CN" w:bidi="ar-SA"/>
    </w:rPr>
  </w:style>
  <w:style w:type="paragraph" w:customStyle="1" w:styleId="403">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Normal_19"/>
    <w:qFormat/>
    <w:uiPriority w:val="0"/>
    <w:rPr>
      <w:rFonts w:ascii="黑体" w:hAnsi="黑体" w:eastAsia="黑体" w:cs="黑体"/>
      <w:b/>
      <w:sz w:val="32"/>
      <w:szCs w:val="24"/>
      <w:lang w:val="en-US" w:eastAsia="zh-CN" w:bidi="ar-SA"/>
    </w:rPr>
  </w:style>
  <w:style w:type="paragraph" w:customStyle="1" w:styleId="405">
    <w:name w:val="正文_0_1"/>
    <w:next w:val="4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纯文本_0_1"/>
    <w:basedOn w:val="402"/>
    <w:unhideWhenUsed/>
    <w:qFormat/>
    <w:uiPriority w:val="0"/>
    <w:rPr>
      <w:rFonts w:ascii="Cambria" w:hAnsi="Cambria" w:eastAsia="等线"/>
      <w:b/>
      <w:bCs/>
      <w:kern w:val="28"/>
      <w:sz w:val="32"/>
      <w:szCs w:val="32"/>
    </w:rPr>
  </w:style>
  <w:style w:type="paragraph" w:customStyle="1" w:styleId="407">
    <w:name w:val="正文_23_0"/>
    <w:next w:val="408"/>
    <w:qFormat/>
    <w:uiPriority w:val="5"/>
    <w:pPr>
      <w:widowControl w:val="0"/>
      <w:jc w:val="both"/>
    </w:pPr>
    <w:rPr>
      <w:rFonts w:ascii="Times New Roman" w:hAnsi="Times New Roman" w:eastAsia="宋体" w:cs="Times New Roman"/>
      <w:kern w:val="2"/>
      <w:sz w:val="21"/>
      <w:szCs w:val="22"/>
      <w:lang w:val="en-US" w:eastAsia="zh-CN" w:bidi="ar-SA"/>
    </w:rPr>
  </w:style>
  <w:style w:type="paragraph" w:customStyle="1" w:styleId="408">
    <w:name w:val="正文_23"/>
    <w:qFormat/>
    <w:uiPriority w:val="5"/>
    <w:pPr>
      <w:widowControl w:val="0"/>
      <w:jc w:val="both"/>
    </w:pPr>
    <w:rPr>
      <w:rFonts w:ascii="Calibri" w:hAnsi="Calibri" w:eastAsia="宋体" w:cs="Calibri"/>
      <w:kern w:val="2"/>
      <w:sz w:val="21"/>
      <w:szCs w:val="22"/>
      <w:lang w:val="en-US" w:eastAsia="zh-CN" w:bidi="ar-SA"/>
    </w:rPr>
  </w:style>
  <w:style w:type="paragraph" w:customStyle="1" w:styleId="409">
    <w:name w:val="Normal_33"/>
    <w:qFormat/>
    <w:uiPriority w:val="0"/>
    <w:rPr>
      <w:rFonts w:ascii="Times New Roman" w:hAnsi="Times New Roman" w:eastAsia="Times New Roman" w:cs="Times New Roman"/>
      <w:sz w:val="24"/>
      <w:szCs w:val="24"/>
      <w:lang w:val="en-US" w:eastAsia="zh-CN" w:bidi="ar-SA"/>
    </w:rPr>
  </w:style>
  <w:style w:type="paragraph" w:customStyle="1" w:styleId="410">
    <w:name w:val="表格文字_0"/>
    <w:basedOn w:val="46"/>
    <w:qFormat/>
    <w:uiPriority w:val="0"/>
    <w:pPr>
      <w:spacing w:line="420" w:lineRule="atLeast"/>
      <w:jc w:val="left"/>
      <w:textAlignment w:val="baseline"/>
    </w:pPr>
    <w:rPr>
      <w:rFonts w:ascii="Times New Roman" w:hAnsi="Times New Roman" w:cs="Times New Roman"/>
      <w:kern w:val="0"/>
      <w:szCs w:val="20"/>
    </w:rPr>
  </w:style>
  <w:style w:type="paragraph" w:customStyle="1" w:styleId="411">
    <w:name w:val="正文_12_0_0"/>
    <w:basedOn w:val="402"/>
    <w:qFormat/>
    <w:uiPriority w:val="0"/>
    <w:rPr>
      <w:rFonts w:cs="Times New Roman"/>
    </w:rPr>
  </w:style>
  <w:style w:type="paragraph" w:customStyle="1" w:styleId="412">
    <w:name w:val="正文_0_0_0"/>
    <w:next w:val="413"/>
    <w:qFormat/>
    <w:uiPriority w:val="0"/>
    <w:pPr>
      <w:widowControl w:val="0"/>
      <w:spacing w:after="200" w:line="276" w:lineRule="auto"/>
      <w:jc w:val="both"/>
    </w:pPr>
    <w:rPr>
      <w:rFonts w:ascii="Calibri" w:hAnsi="Calibri" w:eastAsia="宋体" w:cs="Calibri"/>
      <w:lang w:val="en-US" w:eastAsia="zh-CN" w:bidi="ar-SA"/>
    </w:rPr>
  </w:style>
  <w:style w:type="paragraph" w:customStyle="1" w:styleId="413">
    <w:name w:val="Normal_6"/>
    <w:qFormat/>
    <w:uiPriority w:val="0"/>
    <w:pPr>
      <w:widowControl w:val="0"/>
      <w:jc w:val="both"/>
    </w:pPr>
    <w:rPr>
      <w:rFonts w:ascii="Times New Roman" w:hAnsi="Times New Roman" w:eastAsia="Times New Roman" w:cs="Times New Roman"/>
      <w:lang w:val="en-US" w:eastAsia="zh-CN" w:bidi="ar-SA"/>
    </w:rPr>
  </w:style>
  <w:style w:type="paragraph" w:customStyle="1" w:styleId="414">
    <w:name w:val="Normal_2"/>
    <w:qFormat/>
    <w:uiPriority w:val="0"/>
    <w:rPr>
      <w:rFonts w:ascii="黑体" w:hAnsi="黑体" w:eastAsia="黑体" w:cs="黑体"/>
      <w:b/>
      <w:sz w:val="32"/>
      <w:szCs w:val="24"/>
      <w:lang w:val="en-US" w:eastAsia="zh-CN" w:bidi="ar-SA"/>
    </w:rPr>
  </w:style>
  <w:style w:type="paragraph" w:customStyle="1" w:styleId="415">
    <w:name w:val="标题 3_3"/>
    <w:basedOn w:val="363"/>
    <w:next w:val="363"/>
    <w:qFormat/>
    <w:uiPriority w:val="9"/>
    <w:pPr>
      <w:keepNext/>
      <w:keepLines/>
      <w:spacing w:line="415" w:lineRule="auto"/>
    </w:pPr>
    <w:rPr>
      <w:b/>
      <w:bCs/>
      <w:kern w:val="0"/>
      <w:sz w:val="32"/>
      <w:szCs w:val="32"/>
    </w:rPr>
  </w:style>
  <w:style w:type="paragraph" w:customStyle="1" w:styleId="416">
    <w:name w:val="正文_1_1"/>
    <w:next w:val="4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Normal_8"/>
    <w:qFormat/>
    <w:uiPriority w:val="0"/>
    <w:rPr>
      <w:rFonts w:ascii="黑体" w:hAnsi="黑体" w:eastAsia="黑体" w:cs="黑体"/>
      <w:b/>
      <w:sz w:val="32"/>
      <w:szCs w:val="24"/>
      <w:lang w:val="en-US" w:eastAsia="zh-CN" w:bidi="ar-SA"/>
    </w:rPr>
  </w:style>
  <w:style w:type="paragraph" w:customStyle="1" w:styleId="418">
    <w:name w:val="Normal_29"/>
    <w:qFormat/>
    <w:uiPriority w:val="0"/>
    <w:rPr>
      <w:rFonts w:ascii="黑体" w:hAnsi="黑体" w:eastAsia="黑体" w:cs="黑体"/>
      <w:b/>
      <w:sz w:val="32"/>
      <w:szCs w:val="24"/>
      <w:lang w:val="en-US" w:eastAsia="zh-CN" w:bidi="ar-SA"/>
    </w:rPr>
  </w:style>
  <w:style w:type="paragraph" w:customStyle="1" w:styleId="419">
    <w:name w:val="正文_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Normal_14"/>
    <w:qFormat/>
    <w:uiPriority w:val="0"/>
    <w:rPr>
      <w:rFonts w:ascii="Times New Roman" w:hAnsi="Times New Roman" w:eastAsia="Times New Roman" w:cs="Times New Roman"/>
      <w:sz w:val="24"/>
      <w:szCs w:val="24"/>
      <w:lang w:val="en-US" w:eastAsia="zh-CN" w:bidi="ar-SA"/>
    </w:rPr>
  </w:style>
  <w:style w:type="paragraph" w:customStyle="1" w:styleId="421">
    <w:name w:val="Normal_23"/>
    <w:qFormat/>
    <w:uiPriority w:val="0"/>
    <w:rPr>
      <w:rFonts w:ascii="Times New Roman" w:hAnsi="Times New Roman" w:eastAsia="Times New Roman" w:cs="Times New Roman"/>
      <w:sz w:val="24"/>
      <w:szCs w:val="24"/>
      <w:lang w:val="en-US" w:eastAsia="zh-CN" w:bidi="ar-SA"/>
    </w:rPr>
  </w:style>
  <w:style w:type="paragraph" w:customStyle="1" w:styleId="422">
    <w:name w:val="标题 5_0"/>
    <w:basedOn w:val="46"/>
    <w:next w:val="46"/>
    <w:qFormat/>
    <w:uiPriority w:val="2"/>
    <w:pPr>
      <w:keepNext/>
      <w:keepLines/>
      <w:spacing w:line="372" w:lineRule="auto"/>
    </w:pPr>
    <w:rPr>
      <w:rFonts w:ascii="Times New Roman" w:hAnsi="Times New Roman" w:cs="Times New Roman"/>
      <w:b/>
      <w:bCs/>
      <w:kern w:val="0"/>
      <w:sz w:val="28"/>
      <w:szCs w:val="28"/>
    </w:rPr>
  </w:style>
  <w:style w:type="paragraph" w:customStyle="1" w:styleId="423">
    <w:name w:val="Normal_16"/>
    <w:qFormat/>
    <w:uiPriority w:val="0"/>
    <w:rPr>
      <w:rFonts w:ascii="Times New Roman" w:hAnsi="Times New Roman" w:eastAsia="Times New Roman" w:cs="Times New Roman"/>
      <w:sz w:val="24"/>
      <w:szCs w:val="24"/>
      <w:lang w:val="en-US" w:eastAsia="zh-CN" w:bidi="ar-SA"/>
    </w:rPr>
  </w:style>
  <w:style w:type="paragraph" w:customStyle="1" w:styleId="424">
    <w:name w:val="Normal_10"/>
    <w:qFormat/>
    <w:uiPriority w:val="0"/>
    <w:rPr>
      <w:rFonts w:ascii="黑体" w:hAnsi="黑体" w:eastAsia="黑体" w:cs="黑体"/>
      <w:b/>
      <w:sz w:val="32"/>
      <w:szCs w:val="24"/>
      <w:lang w:val="en-US" w:eastAsia="zh-CN" w:bidi="ar-SA"/>
    </w:rPr>
  </w:style>
  <w:style w:type="paragraph" w:customStyle="1" w:styleId="425">
    <w:name w:val="标题 3_6"/>
    <w:basedOn w:val="383"/>
    <w:next w:val="383"/>
    <w:qFormat/>
    <w:uiPriority w:val="2"/>
    <w:pPr>
      <w:keepNext/>
      <w:keepLines/>
      <w:spacing w:before="260" w:after="260" w:line="415" w:lineRule="auto"/>
    </w:pPr>
    <w:rPr>
      <w:rFonts w:ascii="Times New Roman" w:hAnsi="Times New Roman" w:eastAsia="宋体" w:cs="Times New Roman"/>
      <w:b/>
      <w:bCs/>
      <w:sz w:val="32"/>
      <w:szCs w:val="32"/>
    </w:rPr>
  </w:style>
  <w:style w:type="paragraph" w:customStyle="1" w:styleId="426">
    <w:name w:val="Normal_4"/>
    <w:qFormat/>
    <w:uiPriority w:val="0"/>
    <w:rPr>
      <w:rFonts w:ascii="Times New Roman" w:hAnsi="Times New Roman" w:eastAsia="Times New Roman" w:cs="Times New Roman"/>
      <w:sz w:val="24"/>
      <w:szCs w:val="24"/>
      <w:lang w:val="en-US" w:eastAsia="zh-CN" w:bidi="ar-SA"/>
    </w:rPr>
  </w:style>
  <w:style w:type="paragraph" w:customStyle="1" w:styleId="427">
    <w:name w:val="Normal_26"/>
    <w:qFormat/>
    <w:uiPriority w:val="0"/>
    <w:rPr>
      <w:rFonts w:ascii="黑体" w:hAnsi="黑体" w:eastAsia="黑体" w:cs="黑体"/>
      <w:b/>
      <w:sz w:val="32"/>
      <w:szCs w:val="24"/>
      <w:lang w:val="en-US" w:eastAsia="zh-CN" w:bidi="ar-SA"/>
    </w:rPr>
  </w:style>
  <w:style w:type="paragraph" w:customStyle="1" w:styleId="428">
    <w:name w:val="正文_18"/>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9">
    <w:name w:val="正文首行缩进_0"/>
    <w:basedOn w:val="430"/>
    <w:link w:val="516"/>
    <w:qFormat/>
    <w:uiPriority w:val="0"/>
    <w:pPr>
      <w:ind w:firstLine="420"/>
    </w:pPr>
    <w:rPr>
      <w:kern w:val="0"/>
      <w:sz w:val="20"/>
      <w:szCs w:val="20"/>
    </w:rPr>
  </w:style>
  <w:style w:type="paragraph" w:customStyle="1" w:styleId="430">
    <w:name w:val="正文文本_1"/>
    <w:basedOn w:val="51"/>
    <w:next w:val="431"/>
    <w:qFormat/>
    <w:uiPriority w:val="0"/>
    <w:pPr>
      <w:spacing w:after="120"/>
    </w:pPr>
    <w:rPr>
      <w:szCs w:val="24"/>
    </w:rPr>
  </w:style>
  <w:style w:type="paragraph" w:customStyle="1" w:styleId="431">
    <w:name w:val="Body Text 21"/>
    <w:basedOn w:val="432"/>
    <w:qFormat/>
    <w:uiPriority w:val="0"/>
    <w:pPr>
      <w:autoSpaceDE w:val="0"/>
      <w:autoSpaceDN w:val="0"/>
      <w:adjustRightInd w:val="0"/>
      <w:spacing w:line="380" w:lineRule="atLeast"/>
      <w:textAlignment w:val="baseline"/>
    </w:pPr>
    <w:rPr>
      <w:spacing w:val="10"/>
      <w:kern w:val="0"/>
      <w:sz w:val="24"/>
      <w:szCs w:val="20"/>
    </w:rPr>
  </w:style>
  <w:style w:type="paragraph" w:customStyle="1" w:styleId="432">
    <w:name w:val="正文_1"/>
    <w:basedOn w:val="405"/>
    <w:next w:val="429"/>
    <w:qFormat/>
    <w:uiPriority w:val="0"/>
    <w:rPr>
      <w:szCs w:val="22"/>
    </w:rPr>
  </w:style>
  <w:style w:type="paragraph" w:customStyle="1" w:styleId="43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Normal_20"/>
    <w:qFormat/>
    <w:uiPriority w:val="0"/>
    <w:rPr>
      <w:rFonts w:ascii="黑体" w:hAnsi="黑体" w:eastAsia="黑体" w:cs="黑体"/>
      <w:b/>
      <w:sz w:val="32"/>
      <w:szCs w:val="24"/>
      <w:lang w:val="en-US" w:eastAsia="zh-CN" w:bidi="ar-SA"/>
    </w:rPr>
  </w:style>
  <w:style w:type="paragraph" w:customStyle="1" w:styleId="435">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Normal_5"/>
    <w:qFormat/>
    <w:uiPriority w:val="0"/>
    <w:rPr>
      <w:rFonts w:ascii="黑体" w:hAnsi="黑体" w:eastAsia="黑体" w:cs="黑体"/>
      <w:b/>
      <w:sz w:val="32"/>
      <w:szCs w:val="24"/>
      <w:lang w:val="en-US" w:eastAsia="zh-CN" w:bidi="ar-SA"/>
    </w:rPr>
  </w:style>
  <w:style w:type="paragraph" w:customStyle="1" w:styleId="437">
    <w:name w:val="Normal_17"/>
    <w:qFormat/>
    <w:uiPriority w:val="0"/>
    <w:rPr>
      <w:rFonts w:ascii="Times New Roman" w:hAnsi="Times New Roman" w:eastAsia="Times New Roman" w:cs="Times New Roman"/>
      <w:sz w:val="24"/>
      <w:szCs w:val="24"/>
      <w:lang w:val="en-US" w:eastAsia="zh-CN" w:bidi="ar-SA"/>
    </w:rPr>
  </w:style>
  <w:style w:type="paragraph" w:customStyle="1" w:styleId="438">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Normal_22"/>
    <w:qFormat/>
    <w:uiPriority w:val="7"/>
    <w:rPr>
      <w:rFonts w:ascii="黑体" w:hAnsi="黑体" w:eastAsia="黑体" w:cs="黑体"/>
      <w:b/>
      <w:sz w:val="32"/>
      <w:szCs w:val="24"/>
      <w:lang w:val="en-US" w:eastAsia="zh-CN" w:bidi="ar-SA"/>
    </w:rPr>
  </w:style>
  <w:style w:type="paragraph" w:customStyle="1" w:styleId="440">
    <w:name w:val="正文_3_0"/>
    <w:next w:val="441"/>
    <w:qFormat/>
    <w:uiPriority w:val="0"/>
    <w:pPr>
      <w:widowControl w:val="0"/>
      <w:jc w:val="both"/>
    </w:pPr>
    <w:rPr>
      <w:rFonts w:ascii="等线" w:hAnsi="等线" w:eastAsia="等线" w:cs="等线"/>
      <w:kern w:val="2"/>
      <w:sz w:val="21"/>
      <w:szCs w:val="22"/>
      <w:lang w:val="en-US" w:eastAsia="zh-CN" w:bidi="ar-SA"/>
    </w:rPr>
  </w:style>
  <w:style w:type="paragraph" w:customStyle="1" w:styleId="441">
    <w:name w:val="正文缩进_2_0_0_0"/>
    <w:basedOn w:val="440"/>
    <w:qFormat/>
    <w:uiPriority w:val="0"/>
    <w:pPr>
      <w:ind w:firstLine="420" w:firstLineChars="200"/>
    </w:pPr>
  </w:style>
  <w:style w:type="paragraph" w:customStyle="1" w:styleId="442">
    <w:name w:val="Normal_7"/>
    <w:qFormat/>
    <w:uiPriority w:val="0"/>
    <w:rPr>
      <w:rFonts w:ascii="黑体" w:hAnsi="黑体" w:eastAsia="黑体" w:cs="黑体"/>
      <w:b/>
      <w:sz w:val="32"/>
      <w:szCs w:val="24"/>
      <w:lang w:val="en-US" w:eastAsia="zh-CN" w:bidi="ar-SA"/>
    </w:rPr>
  </w:style>
  <w:style w:type="paragraph" w:customStyle="1" w:styleId="443">
    <w:name w:val="Normal_3"/>
    <w:qFormat/>
    <w:uiPriority w:val="0"/>
    <w:rPr>
      <w:rFonts w:ascii="Times New Roman" w:hAnsi="Times New Roman" w:eastAsia="Times New Roman" w:cs="Times New Roman"/>
      <w:sz w:val="24"/>
      <w:szCs w:val="24"/>
      <w:lang w:val="en-US" w:eastAsia="zh-CN" w:bidi="ar-SA"/>
    </w:rPr>
  </w:style>
  <w:style w:type="paragraph" w:customStyle="1" w:styleId="444">
    <w:name w:val="Normal_11"/>
    <w:qFormat/>
    <w:uiPriority w:val="7"/>
    <w:rPr>
      <w:rFonts w:ascii="黑体" w:hAnsi="黑体" w:eastAsia="黑体" w:cs="黑体"/>
      <w:b/>
      <w:sz w:val="32"/>
      <w:szCs w:val="24"/>
      <w:lang w:val="en-US" w:eastAsia="zh-CN" w:bidi="ar-SA"/>
    </w:rPr>
  </w:style>
  <w:style w:type="paragraph" w:customStyle="1" w:styleId="445">
    <w:name w:val="Normal_18"/>
    <w:qFormat/>
    <w:uiPriority w:val="0"/>
    <w:rPr>
      <w:rFonts w:ascii="Times New Roman" w:hAnsi="Times New Roman" w:eastAsia="Times New Roman" w:cs="Times New Roman"/>
      <w:sz w:val="24"/>
      <w:szCs w:val="24"/>
      <w:lang w:val="en-US" w:eastAsia="zh-CN" w:bidi="ar-SA"/>
    </w:rPr>
  </w:style>
  <w:style w:type="paragraph" w:customStyle="1" w:styleId="446">
    <w:name w:val="标题 4_0"/>
    <w:basedOn w:val="382"/>
    <w:next w:val="382"/>
    <w:qFormat/>
    <w:uiPriority w:val="0"/>
    <w:pPr>
      <w:keepNext/>
      <w:keepLines/>
      <w:spacing w:line="374" w:lineRule="auto"/>
    </w:pPr>
    <w:rPr>
      <w:rFonts w:ascii="Cambria" w:hAnsi="Cambria" w:cs="Cambria"/>
      <w:b/>
      <w:bCs/>
      <w:kern w:val="0"/>
      <w:sz w:val="28"/>
      <w:szCs w:val="28"/>
    </w:rPr>
  </w:style>
  <w:style w:type="paragraph" w:customStyle="1" w:styleId="44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Normal_24"/>
    <w:qFormat/>
    <w:uiPriority w:val="0"/>
    <w:rPr>
      <w:rFonts w:ascii="Times New Roman" w:hAnsi="Times New Roman" w:eastAsia="Times New Roman" w:cs="Times New Roman"/>
      <w:sz w:val="24"/>
      <w:szCs w:val="24"/>
      <w:lang w:val="en-US" w:eastAsia="zh-CN" w:bidi="ar-SA"/>
    </w:rPr>
  </w:style>
  <w:style w:type="paragraph" w:customStyle="1" w:styleId="450">
    <w:name w:val="Normal_13"/>
    <w:qFormat/>
    <w:uiPriority w:val="0"/>
    <w:rPr>
      <w:rFonts w:ascii="Times New Roman" w:hAnsi="Times New Roman" w:eastAsia="Times New Roman" w:cs="Times New Roman"/>
      <w:sz w:val="24"/>
      <w:szCs w:val="24"/>
      <w:lang w:val="en-US" w:eastAsia="zh-CN" w:bidi="ar-SA"/>
    </w:rPr>
  </w:style>
  <w:style w:type="paragraph" w:customStyle="1" w:styleId="451">
    <w:name w:val="Normal_27"/>
    <w:qFormat/>
    <w:uiPriority w:val="0"/>
    <w:rPr>
      <w:rFonts w:ascii="黑体" w:hAnsi="黑体" w:eastAsia="黑体" w:cs="黑体"/>
      <w:b/>
      <w:sz w:val="32"/>
      <w:szCs w:val="24"/>
      <w:lang w:val="en-US" w:eastAsia="zh-CN" w:bidi="ar-SA"/>
    </w:rPr>
  </w:style>
  <w:style w:type="paragraph" w:customStyle="1" w:styleId="452">
    <w:name w:val="Normal_15"/>
    <w:qFormat/>
    <w:uiPriority w:val="0"/>
    <w:rPr>
      <w:rFonts w:ascii="Times New Roman" w:hAnsi="Times New Roman" w:eastAsia="Times New Roman" w:cs="Times New Roman"/>
      <w:sz w:val="24"/>
      <w:szCs w:val="24"/>
      <w:lang w:val="en-US" w:eastAsia="zh-CN" w:bidi="ar-SA"/>
    </w:rPr>
  </w:style>
  <w:style w:type="paragraph" w:customStyle="1" w:styleId="453">
    <w:name w:val="纯文本1"/>
    <w:basedOn w:val="1"/>
    <w:qFormat/>
    <w:uiPriority w:val="0"/>
    <w:rPr>
      <w:rFonts w:ascii="Cambria" w:hAnsi="Cambria" w:eastAsia="宋体" w:cs="Cambria"/>
      <w:b/>
      <w:bCs/>
      <w:sz w:val="32"/>
      <w:szCs w:val="32"/>
    </w:rPr>
  </w:style>
  <w:style w:type="paragraph" w:customStyle="1" w:styleId="45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正文11"/>
    <w:basedOn w:val="1"/>
    <w:next w:val="15"/>
    <w:qFormat/>
    <w:uiPriority w:val="0"/>
    <w:pPr>
      <w:jc w:val="center"/>
    </w:pPr>
    <w:rPr>
      <w:rFonts w:ascii="Calibri" w:hAnsi="Calibri" w:eastAsia="宋体" w:cs="Times New Roman"/>
      <w:szCs w:val="20"/>
    </w:rPr>
  </w:style>
  <w:style w:type="paragraph" w:customStyle="1" w:styleId="456">
    <w:name w:val="列出段落11"/>
    <w:basedOn w:val="1"/>
    <w:qFormat/>
    <w:uiPriority w:val="99"/>
    <w:pPr>
      <w:ind w:firstLine="420" w:firstLineChars="200"/>
    </w:pPr>
    <w:rPr>
      <w:rFonts w:ascii="Calibri" w:hAnsi="Calibri" w:eastAsia="宋体" w:cs="Times New Roman"/>
      <w:szCs w:val="20"/>
    </w:rPr>
  </w:style>
  <w:style w:type="paragraph" w:customStyle="1" w:styleId="457">
    <w:name w:val="页脚 New New New New New New New New New New New New"/>
    <w:basedOn w:val="131"/>
    <w:qFormat/>
    <w:uiPriority w:val="0"/>
    <w:pPr>
      <w:tabs>
        <w:tab w:val="center" w:pos="4153"/>
        <w:tab w:val="right" w:pos="8306"/>
      </w:tabs>
      <w:snapToGrid w:val="0"/>
      <w:jc w:val="left"/>
    </w:pPr>
    <w:rPr>
      <w:rFonts w:eastAsia="宋体"/>
      <w:sz w:val="18"/>
      <w:szCs w:val="18"/>
    </w:rPr>
  </w:style>
  <w:style w:type="character" w:customStyle="1" w:styleId="458">
    <w:name w:val="正文缩进 Char2"/>
    <w:qFormat/>
    <w:locked/>
    <w:uiPriority w:val="99"/>
  </w:style>
  <w:style w:type="paragraph" w:customStyle="1" w:styleId="459">
    <w:name w:val="标题 3_4_0"/>
    <w:basedOn w:val="460"/>
    <w:next w:val="460"/>
    <w:qFormat/>
    <w:uiPriority w:val="9"/>
    <w:pPr>
      <w:keepNext/>
      <w:keepLines/>
      <w:spacing w:line="412" w:lineRule="auto"/>
      <w:outlineLvl w:val="2"/>
    </w:pPr>
    <w:rPr>
      <w:rFonts w:ascii="Calibri" w:hAnsi="Calibri"/>
      <w:b/>
      <w:bCs/>
      <w:sz w:val="32"/>
      <w:szCs w:val="32"/>
    </w:rPr>
  </w:style>
  <w:style w:type="paragraph" w:customStyle="1" w:styleId="460">
    <w:name w:val="正文_6_0_0"/>
    <w:next w:val="4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正文缩进11"/>
    <w:basedOn w:val="1"/>
    <w:qFormat/>
    <w:uiPriority w:val="0"/>
    <w:pPr>
      <w:spacing w:before="156" w:beforeLines="50" w:after="156" w:afterLines="50" w:line="300" w:lineRule="auto"/>
      <w:ind w:firstLine="480" w:firstLineChars="200"/>
    </w:pPr>
    <w:rPr>
      <w:rFonts w:ascii="宋体" w:hAnsi="Tahoma" w:eastAsia="仿宋_GB2312" w:cs="Times New Roman"/>
      <w:kern w:val="0"/>
      <w:sz w:val="24"/>
      <w:szCs w:val="24"/>
    </w:rPr>
  </w:style>
  <w:style w:type="paragraph" w:customStyle="1" w:styleId="462">
    <w:name w:val="4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3">
    <w:name w:val="正文缩进_3_0"/>
    <w:basedOn w:val="433"/>
    <w:next w:val="440"/>
    <w:qFormat/>
    <w:uiPriority w:val="0"/>
    <w:pPr>
      <w:ind w:firstLine="420" w:firstLineChars="200"/>
    </w:pPr>
    <w:rPr>
      <w:rFonts w:ascii="等线" w:hAnsi="等线" w:eastAsia="等线"/>
    </w:rPr>
  </w:style>
  <w:style w:type="paragraph" w:customStyle="1" w:styleId="464">
    <w:name w:val="正文缩进_6"/>
    <w:basedOn w:val="465"/>
    <w:qFormat/>
    <w:uiPriority w:val="0"/>
    <w:pPr>
      <w:ind w:firstLine="420" w:firstLineChars="200"/>
    </w:pPr>
  </w:style>
  <w:style w:type="paragraph" w:customStyle="1" w:styleId="465">
    <w:name w:val="正文_10"/>
    <w:next w:val="385"/>
    <w:qFormat/>
    <w:uiPriority w:val="0"/>
    <w:pPr>
      <w:widowControl w:val="0"/>
      <w:jc w:val="both"/>
    </w:pPr>
    <w:rPr>
      <w:rFonts w:ascii="等线" w:hAnsi="等线" w:eastAsia="等线" w:cs="Times New Roman"/>
      <w:kern w:val="2"/>
      <w:sz w:val="21"/>
      <w:szCs w:val="22"/>
      <w:lang w:val="en-US" w:eastAsia="zh-CN" w:bidi="ar-SA"/>
    </w:rPr>
  </w:style>
  <w:style w:type="paragraph" w:customStyle="1" w:styleId="466">
    <w:name w:val="正文首行缩进_4"/>
    <w:basedOn w:val="467"/>
    <w:qFormat/>
    <w:uiPriority w:val="0"/>
    <w:pPr>
      <w:ind w:firstLine="420" w:firstLineChars="100"/>
    </w:pPr>
  </w:style>
  <w:style w:type="paragraph" w:customStyle="1" w:styleId="467">
    <w:name w:val="正文文本_5"/>
    <w:basedOn w:val="386"/>
    <w:next w:val="468"/>
    <w:qFormat/>
    <w:uiPriority w:val="0"/>
    <w:pPr>
      <w:jc w:val="left"/>
    </w:pPr>
  </w:style>
  <w:style w:type="paragraph" w:customStyle="1" w:styleId="468">
    <w:name w:val="正文文本 2_3"/>
    <w:basedOn w:val="386"/>
    <w:qFormat/>
    <w:uiPriority w:val="0"/>
  </w:style>
  <w:style w:type="character" w:customStyle="1" w:styleId="469">
    <w:name w:val="Char Char36"/>
    <w:qFormat/>
    <w:uiPriority w:val="0"/>
    <w:rPr>
      <w:kern w:val="2"/>
      <w:sz w:val="18"/>
      <w:szCs w:val="18"/>
    </w:rPr>
  </w:style>
  <w:style w:type="character" w:customStyle="1" w:styleId="470">
    <w:name w:val="Char Char15"/>
    <w:qFormat/>
    <w:uiPriority w:val="0"/>
    <w:rPr>
      <w:rFonts w:ascii="Arial" w:hAnsi="Arial" w:eastAsia="黑体"/>
      <w:b/>
      <w:bCs/>
      <w:kern w:val="2"/>
      <w:sz w:val="28"/>
      <w:szCs w:val="28"/>
    </w:rPr>
  </w:style>
  <w:style w:type="character" w:customStyle="1" w:styleId="471">
    <w:name w:val="Char Char13"/>
    <w:qFormat/>
    <w:uiPriority w:val="0"/>
    <w:rPr>
      <w:rFonts w:ascii="Arial" w:hAnsi="Arial" w:eastAsia="黑体"/>
      <w:b/>
      <w:bCs/>
      <w:sz w:val="24"/>
      <w:szCs w:val="24"/>
    </w:rPr>
  </w:style>
  <w:style w:type="character" w:customStyle="1" w:styleId="472">
    <w:name w:val="明显引用 Char Char"/>
    <w:qFormat/>
    <w:uiPriority w:val="0"/>
    <w:rPr>
      <w:b/>
      <w:bCs/>
      <w:i/>
      <w:iCs/>
      <w:color w:val="4F81BD"/>
      <w:kern w:val="2"/>
      <w:sz w:val="21"/>
      <w:szCs w:val="22"/>
    </w:rPr>
  </w:style>
  <w:style w:type="character" w:customStyle="1" w:styleId="473">
    <w:name w:val="日期 Char Char Char"/>
    <w:qFormat/>
    <w:uiPriority w:val="0"/>
    <w:rPr>
      <w:rFonts w:ascii="宋体" w:eastAsia="宋体"/>
      <w:kern w:val="2"/>
      <w:sz w:val="28"/>
      <w:szCs w:val="24"/>
      <w:lang w:val="en-US" w:eastAsia="zh-CN" w:bidi="ar-SA"/>
    </w:rPr>
  </w:style>
  <w:style w:type="character" w:customStyle="1" w:styleId="474">
    <w:name w:val="Char Char14"/>
    <w:qFormat/>
    <w:uiPriority w:val="0"/>
    <w:rPr>
      <w:rFonts w:ascii="Calibri" w:hAnsi="Calibri"/>
      <w:b/>
      <w:bCs/>
      <w:kern w:val="2"/>
      <w:sz w:val="28"/>
      <w:szCs w:val="28"/>
    </w:rPr>
  </w:style>
  <w:style w:type="character" w:customStyle="1" w:styleId="475">
    <w:name w:val="批注主题 Char Char Char"/>
    <w:qFormat/>
    <w:uiPriority w:val="0"/>
    <w:rPr>
      <w:rFonts w:ascii="宋体" w:eastAsia="宋体"/>
      <w:b/>
      <w:bCs/>
      <w:kern w:val="2"/>
      <w:sz w:val="28"/>
      <w:szCs w:val="22"/>
      <w:lang w:val="en-US" w:eastAsia="zh-CN" w:bidi="ar-SA"/>
    </w:rPr>
  </w:style>
  <w:style w:type="character" w:customStyle="1" w:styleId="476">
    <w:name w:val="文档结构图 Char Char Char"/>
    <w:qFormat/>
    <w:uiPriority w:val="0"/>
    <w:rPr>
      <w:rFonts w:eastAsia="宋体"/>
      <w:kern w:val="2"/>
      <w:sz w:val="21"/>
      <w:szCs w:val="24"/>
      <w:shd w:val="clear" w:color="auto" w:fill="000080"/>
      <w:lang w:val="en-US" w:eastAsia="zh-CN" w:bidi="ar-SA"/>
    </w:rPr>
  </w:style>
  <w:style w:type="character" w:customStyle="1" w:styleId="477">
    <w:name w:val="Char Char5"/>
    <w:qFormat/>
    <w:uiPriority w:val="0"/>
    <w:rPr>
      <w:kern w:val="2"/>
      <w:sz w:val="18"/>
      <w:szCs w:val="18"/>
    </w:rPr>
  </w:style>
  <w:style w:type="character" w:customStyle="1" w:styleId="478">
    <w:name w:val="Char Char16"/>
    <w:qFormat/>
    <w:uiPriority w:val="0"/>
    <w:rPr>
      <w:b/>
      <w:bCs/>
      <w:kern w:val="2"/>
      <w:sz w:val="32"/>
      <w:szCs w:val="32"/>
    </w:rPr>
  </w:style>
  <w:style w:type="character" w:customStyle="1" w:styleId="479">
    <w:name w:val="Char Char9"/>
    <w:qFormat/>
    <w:uiPriority w:val="0"/>
    <w:rPr>
      <w:rFonts w:ascii="Tahoma" w:hAnsi="Tahoma" w:eastAsia="宋体"/>
      <w:kern w:val="2"/>
      <w:sz w:val="21"/>
      <w:szCs w:val="24"/>
      <w:lang w:val="en-US" w:eastAsia="zh-CN" w:bidi="ar-SA"/>
    </w:rPr>
  </w:style>
  <w:style w:type="character" w:customStyle="1" w:styleId="480">
    <w:name w:val="Char Char10"/>
    <w:qFormat/>
    <w:uiPriority w:val="0"/>
    <w:rPr>
      <w:rFonts w:ascii="Arial" w:hAnsi="Arial" w:eastAsia="黑体"/>
      <w:sz w:val="21"/>
      <w:szCs w:val="21"/>
    </w:rPr>
  </w:style>
  <w:style w:type="character" w:customStyle="1" w:styleId="481">
    <w:name w:val="引用 Char Char"/>
    <w:qFormat/>
    <w:uiPriority w:val="0"/>
    <w:rPr>
      <w:i/>
      <w:iCs/>
      <w:color w:val="000000"/>
      <w:kern w:val="2"/>
      <w:sz w:val="21"/>
      <w:szCs w:val="22"/>
    </w:rPr>
  </w:style>
  <w:style w:type="character" w:customStyle="1" w:styleId="482">
    <w:name w:val="Char Char12"/>
    <w:qFormat/>
    <w:uiPriority w:val="0"/>
    <w:rPr>
      <w:b/>
      <w:bCs/>
      <w:sz w:val="24"/>
      <w:szCs w:val="24"/>
    </w:rPr>
  </w:style>
  <w:style w:type="character" w:customStyle="1" w:styleId="483">
    <w:name w:val="Char Char210"/>
    <w:qFormat/>
    <w:uiPriority w:val="0"/>
    <w:rPr>
      <w:kern w:val="2"/>
      <w:sz w:val="18"/>
      <w:szCs w:val="18"/>
    </w:rPr>
  </w:style>
  <w:style w:type="character" w:customStyle="1" w:styleId="484">
    <w:name w:val="Char Char8"/>
    <w:qFormat/>
    <w:uiPriority w:val="0"/>
    <w:rPr>
      <w:rFonts w:ascii="Arial" w:hAnsi="Arial"/>
      <w:b/>
      <w:sz w:val="32"/>
    </w:rPr>
  </w:style>
  <w:style w:type="character" w:customStyle="1" w:styleId="485">
    <w:name w:val="引用 Char Char Char"/>
    <w:qFormat/>
    <w:uiPriority w:val="0"/>
    <w:rPr>
      <w:i/>
      <w:iCs/>
      <w:color w:val="000000"/>
      <w:kern w:val="2"/>
      <w:sz w:val="21"/>
      <w:szCs w:val="22"/>
      <w:lang w:bidi="ar-SA"/>
    </w:rPr>
  </w:style>
  <w:style w:type="character" w:customStyle="1" w:styleId="486">
    <w:name w:val="Char Char4"/>
    <w:qFormat/>
    <w:uiPriority w:val="0"/>
    <w:rPr>
      <w:kern w:val="2"/>
      <w:sz w:val="21"/>
      <w:szCs w:val="24"/>
    </w:rPr>
  </w:style>
  <w:style w:type="character" w:customStyle="1" w:styleId="487">
    <w:name w:val="Char Char17"/>
    <w:qFormat/>
    <w:uiPriority w:val="0"/>
    <w:rPr>
      <w:rFonts w:ascii="Arial" w:hAnsi="Arial" w:eastAsia="黑体"/>
      <w:b/>
      <w:bCs/>
      <w:kern w:val="2"/>
      <w:sz w:val="32"/>
      <w:szCs w:val="32"/>
      <w:lang w:val="en-US" w:eastAsia="zh-CN" w:bidi="ar-SA"/>
    </w:rPr>
  </w:style>
  <w:style w:type="character" w:customStyle="1" w:styleId="488">
    <w:name w:val="Char Char18"/>
    <w:qFormat/>
    <w:uiPriority w:val="0"/>
    <w:rPr>
      <w:b/>
      <w:bCs/>
      <w:kern w:val="44"/>
      <w:sz w:val="44"/>
      <w:szCs w:val="44"/>
    </w:rPr>
  </w:style>
  <w:style w:type="character" w:customStyle="1" w:styleId="489">
    <w:name w:val="Char Char11"/>
    <w:qFormat/>
    <w:uiPriority w:val="0"/>
    <w:rPr>
      <w:rFonts w:ascii="Arial" w:hAnsi="Arial" w:eastAsia="黑体"/>
      <w:sz w:val="24"/>
      <w:szCs w:val="24"/>
    </w:rPr>
  </w:style>
  <w:style w:type="paragraph" w:customStyle="1" w:styleId="490">
    <w:name w:val="Char Char Char Char Char1 Char1"/>
    <w:basedOn w:val="1"/>
    <w:qFormat/>
    <w:uiPriority w:val="0"/>
    <w:rPr>
      <w:rFonts w:ascii="Times New Roman" w:hAnsi="Times New Roman" w:eastAsia="宋体" w:cs="Times New Roman"/>
      <w:szCs w:val="24"/>
    </w:rPr>
  </w:style>
  <w:style w:type="paragraph" w:customStyle="1" w:styleId="491">
    <w:name w:val="Char41"/>
    <w:basedOn w:val="1"/>
    <w:qFormat/>
    <w:uiPriority w:val="0"/>
    <w:rPr>
      <w:rFonts w:ascii="Times New Roman" w:hAnsi="Times New Roman" w:eastAsia="宋体" w:cs="Times New Roman"/>
      <w:szCs w:val="24"/>
    </w:rPr>
  </w:style>
  <w:style w:type="paragraph" w:customStyle="1" w:styleId="492">
    <w:name w:val="Char Char1 Char Char Char1"/>
    <w:basedOn w:val="1"/>
    <w:qFormat/>
    <w:uiPriority w:val="0"/>
    <w:rPr>
      <w:rFonts w:ascii="Times New Roman" w:hAnsi="Times New Roman" w:eastAsia="宋体" w:cs="Times New Roman"/>
      <w:kern w:val="0"/>
      <w:sz w:val="20"/>
      <w:szCs w:val="20"/>
    </w:rPr>
  </w:style>
  <w:style w:type="character" w:customStyle="1" w:styleId="493">
    <w:name w:val="Char Char151"/>
    <w:qFormat/>
    <w:uiPriority w:val="0"/>
    <w:rPr>
      <w:rFonts w:hint="default" w:ascii="Arial" w:hAnsi="Arial" w:eastAsia="黑体" w:cs="Arial"/>
      <w:b/>
      <w:bCs/>
      <w:kern w:val="2"/>
      <w:sz w:val="28"/>
      <w:szCs w:val="28"/>
    </w:rPr>
  </w:style>
  <w:style w:type="character" w:customStyle="1" w:styleId="494">
    <w:name w:val="Char Char131"/>
    <w:qFormat/>
    <w:uiPriority w:val="0"/>
    <w:rPr>
      <w:rFonts w:hint="default" w:ascii="Arial" w:hAnsi="Arial" w:eastAsia="黑体" w:cs="Arial"/>
      <w:b/>
      <w:bCs/>
      <w:sz w:val="24"/>
      <w:szCs w:val="24"/>
    </w:rPr>
  </w:style>
  <w:style w:type="character" w:customStyle="1" w:styleId="495">
    <w:name w:val="Char Char141"/>
    <w:qFormat/>
    <w:uiPriority w:val="0"/>
    <w:rPr>
      <w:rFonts w:hint="default" w:ascii="Calibri" w:hAnsi="Calibri" w:cs="Calibri"/>
      <w:b/>
      <w:bCs/>
      <w:kern w:val="2"/>
      <w:sz w:val="28"/>
      <w:szCs w:val="28"/>
    </w:rPr>
  </w:style>
  <w:style w:type="character" w:customStyle="1" w:styleId="496">
    <w:name w:val="Char Char51"/>
    <w:qFormat/>
    <w:uiPriority w:val="0"/>
    <w:rPr>
      <w:kern w:val="2"/>
      <w:sz w:val="18"/>
      <w:szCs w:val="18"/>
    </w:rPr>
  </w:style>
  <w:style w:type="character" w:customStyle="1" w:styleId="497">
    <w:name w:val="Char Char161"/>
    <w:qFormat/>
    <w:uiPriority w:val="0"/>
    <w:rPr>
      <w:b/>
      <w:bCs/>
      <w:kern w:val="2"/>
      <w:sz w:val="32"/>
      <w:szCs w:val="32"/>
    </w:rPr>
  </w:style>
  <w:style w:type="character" w:customStyle="1" w:styleId="498">
    <w:name w:val="Char Char91"/>
    <w:qFormat/>
    <w:uiPriority w:val="0"/>
    <w:rPr>
      <w:rFonts w:hint="default" w:ascii="Tahoma" w:hAnsi="Tahoma" w:eastAsia="宋体" w:cs="Tahoma"/>
      <w:kern w:val="2"/>
      <w:sz w:val="21"/>
      <w:szCs w:val="24"/>
      <w:lang w:val="en-US" w:eastAsia="zh-CN" w:bidi="ar-SA"/>
    </w:rPr>
  </w:style>
  <w:style w:type="character" w:customStyle="1" w:styleId="499">
    <w:name w:val="Char Char101"/>
    <w:qFormat/>
    <w:uiPriority w:val="0"/>
    <w:rPr>
      <w:rFonts w:hint="default" w:ascii="Arial" w:hAnsi="Arial" w:eastAsia="黑体" w:cs="Arial"/>
      <w:sz w:val="21"/>
      <w:szCs w:val="21"/>
    </w:rPr>
  </w:style>
  <w:style w:type="character" w:customStyle="1" w:styleId="500">
    <w:name w:val="Char Char121"/>
    <w:qFormat/>
    <w:uiPriority w:val="0"/>
    <w:rPr>
      <w:b/>
      <w:bCs/>
      <w:sz w:val="24"/>
      <w:szCs w:val="24"/>
    </w:rPr>
  </w:style>
  <w:style w:type="character" w:customStyle="1" w:styleId="501">
    <w:name w:val="Char Char81"/>
    <w:qFormat/>
    <w:uiPriority w:val="0"/>
    <w:rPr>
      <w:rFonts w:hint="default" w:ascii="Arial" w:hAnsi="Arial" w:cs="Arial"/>
      <w:b/>
      <w:sz w:val="32"/>
    </w:rPr>
  </w:style>
  <w:style w:type="character" w:customStyle="1" w:styleId="502">
    <w:name w:val="Char Char42"/>
    <w:qFormat/>
    <w:uiPriority w:val="0"/>
    <w:rPr>
      <w:kern w:val="2"/>
      <w:sz w:val="21"/>
      <w:szCs w:val="24"/>
    </w:rPr>
  </w:style>
  <w:style w:type="character" w:customStyle="1" w:styleId="503">
    <w:name w:val="Char Char171"/>
    <w:qFormat/>
    <w:uiPriority w:val="0"/>
    <w:rPr>
      <w:rFonts w:hint="default" w:ascii="Arial" w:hAnsi="Arial" w:eastAsia="黑体" w:cs="Arial"/>
      <w:b/>
      <w:bCs/>
      <w:kern w:val="2"/>
      <w:sz w:val="32"/>
      <w:szCs w:val="32"/>
      <w:lang w:val="en-US" w:eastAsia="zh-CN" w:bidi="ar-SA"/>
    </w:rPr>
  </w:style>
  <w:style w:type="character" w:customStyle="1" w:styleId="504">
    <w:name w:val="Char Char181"/>
    <w:qFormat/>
    <w:uiPriority w:val="0"/>
    <w:rPr>
      <w:b/>
      <w:bCs/>
      <w:kern w:val="44"/>
      <w:sz w:val="44"/>
      <w:szCs w:val="44"/>
    </w:rPr>
  </w:style>
  <w:style w:type="character" w:customStyle="1" w:styleId="505">
    <w:name w:val="Char Char111"/>
    <w:qFormat/>
    <w:uiPriority w:val="0"/>
    <w:rPr>
      <w:rFonts w:hint="default" w:ascii="Arial" w:hAnsi="Arial" w:eastAsia="黑体" w:cs="Arial"/>
      <w:sz w:val="24"/>
      <w:szCs w:val="24"/>
    </w:rPr>
  </w:style>
  <w:style w:type="table" w:customStyle="1" w:styleId="506">
    <w:name w:val="网格型11"/>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7">
    <w:name w:val="正文缩进_4"/>
    <w:basedOn w:val="364"/>
    <w:next w:val="369"/>
    <w:qFormat/>
    <w:uiPriority w:val="0"/>
    <w:pPr>
      <w:ind w:firstLine="420" w:firstLineChars="200"/>
    </w:pPr>
  </w:style>
  <w:style w:type="paragraph" w:customStyle="1" w:styleId="50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缩进_1"/>
    <w:basedOn w:val="416"/>
    <w:qFormat/>
    <w:uiPriority w:val="0"/>
    <w:pPr>
      <w:ind w:firstLine="420" w:firstLineChars="200"/>
    </w:pPr>
  </w:style>
  <w:style w:type="paragraph" w:customStyle="1" w:styleId="510">
    <w:name w:val="正文文本_0"/>
    <w:basedOn w:val="380"/>
    <w:next w:val="431"/>
    <w:link w:val="515"/>
    <w:qFormat/>
    <w:uiPriority w:val="0"/>
    <w:pPr>
      <w:spacing w:after="120"/>
    </w:pPr>
  </w:style>
  <w:style w:type="paragraph" w:customStyle="1" w:styleId="511">
    <w:name w:val="正文缩进_1_0"/>
    <w:basedOn w:val="512"/>
    <w:next w:val="399"/>
    <w:qFormat/>
    <w:uiPriority w:val="0"/>
    <w:pPr>
      <w:ind w:firstLine="420" w:firstLineChars="200"/>
    </w:pPr>
  </w:style>
  <w:style w:type="paragraph" w:customStyle="1" w:styleId="512">
    <w:name w:val="正文_5_0_1"/>
    <w:basedOn w:val="366"/>
    <w:next w:val="513"/>
    <w:qFormat/>
    <w:uiPriority w:val="0"/>
    <w:rPr>
      <w:rFonts w:ascii="Times New Roman" w:hAnsi="Times New Roman"/>
      <w:szCs w:val="24"/>
    </w:rPr>
  </w:style>
  <w:style w:type="paragraph" w:customStyle="1" w:styleId="513">
    <w:name w:val="标题 1_5_1"/>
    <w:basedOn w:val="512"/>
    <w:next w:val="512"/>
    <w:qFormat/>
    <w:uiPriority w:val="0"/>
    <w:pPr>
      <w:keepNext/>
      <w:keepLines/>
      <w:spacing w:line="576" w:lineRule="auto"/>
      <w:jc w:val="center"/>
      <w:outlineLvl w:val="0"/>
    </w:pPr>
    <w:rPr>
      <w:rFonts w:eastAsia="黑体"/>
      <w:b/>
      <w:bCs/>
      <w:kern w:val="32"/>
      <w:sz w:val="32"/>
      <w:szCs w:val="32"/>
    </w:rPr>
  </w:style>
  <w:style w:type="paragraph" w:customStyle="1" w:styleId="514">
    <w:name w:val="正文缩进_0_1"/>
    <w:basedOn w:val="405"/>
    <w:unhideWhenUsed/>
    <w:qFormat/>
    <w:uiPriority w:val="99"/>
    <w:pPr>
      <w:ind w:firstLine="420" w:firstLineChars="200"/>
    </w:pPr>
    <w:rPr>
      <w:rFonts w:ascii="等线" w:hAnsi="等线" w:eastAsia="等线"/>
    </w:rPr>
  </w:style>
  <w:style w:type="character" w:customStyle="1" w:styleId="515">
    <w:name w:val="正文文本 Char_0"/>
    <w:link w:val="510"/>
    <w:qFormat/>
    <w:uiPriority w:val="0"/>
    <w:rPr>
      <w:rFonts w:ascii="Times New Roman" w:hAnsi="Times New Roman" w:eastAsia="宋体" w:cs="Times New Roman"/>
      <w:lang w:val="en-US" w:eastAsia="zh-CN"/>
    </w:rPr>
  </w:style>
  <w:style w:type="character" w:customStyle="1" w:styleId="516">
    <w:name w:val="正文首行缩进 Char_0"/>
    <w:link w:val="429"/>
    <w:qFormat/>
    <w:uiPriority w:val="0"/>
    <w:rPr>
      <w:rFonts w:ascii="Times New Roman" w:hAnsi="Times New Roman" w:eastAsia="宋体" w:cs="Times New Roman"/>
      <w:kern w:val="0"/>
      <w:sz w:val="20"/>
      <w:szCs w:val="20"/>
    </w:rPr>
  </w:style>
  <w:style w:type="paragraph" w:customStyle="1" w:styleId="517">
    <w:name w:val="样式 标题 3 + (中文) 黑体 小四 非加粗 段前: 7.8 磅 段后: 0 磅 行距: 固定值 20 磅_0"/>
    <w:basedOn w:val="518"/>
    <w:qFormat/>
    <w:uiPriority w:val="0"/>
    <w:pPr>
      <w:spacing w:before="0" w:after="0" w:line="400" w:lineRule="exact"/>
    </w:pPr>
    <w:rPr>
      <w:rFonts w:ascii="Calibri" w:hAnsi="Calibri" w:eastAsia="黑体" w:cs="宋体"/>
      <w:b w:val="0"/>
      <w:bCs w:val="0"/>
      <w:sz w:val="24"/>
      <w:szCs w:val="20"/>
    </w:rPr>
  </w:style>
  <w:style w:type="paragraph" w:customStyle="1" w:styleId="518">
    <w:name w:val="标题 3_0"/>
    <w:basedOn w:val="5"/>
    <w:next w:val="5"/>
    <w:link w:val="51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customStyle="1" w:styleId="519">
    <w:name w:val="标题 3 Char_0"/>
    <w:link w:val="518"/>
    <w:semiHidden/>
    <w:qFormat/>
    <w:uiPriority w:val="9"/>
    <w:rPr>
      <w:rFonts w:ascii="Times New Roman" w:hAnsi="Times New Roman" w:eastAsia="宋体" w:cs="Times New Roman"/>
      <w:b/>
      <w:bCs/>
      <w:sz w:val="32"/>
      <w:szCs w:val="32"/>
    </w:rPr>
  </w:style>
  <w:style w:type="paragraph" w:customStyle="1" w:styleId="520">
    <w:name w:val="正文文本1"/>
    <w:basedOn w:val="308"/>
    <w:qFormat/>
    <w:uiPriority w:val="0"/>
    <w:pPr>
      <w:widowControl w:val="0"/>
    </w:pPr>
    <w:rPr>
      <w:rFonts w:ascii="Calibri" w:hAnsi="Calibri" w:eastAsia="宋体"/>
      <w:b w:val="0"/>
      <w:kern w:val="2"/>
      <w:sz w:val="21"/>
    </w:rPr>
  </w:style>
  <w:style w:type="paragraph" w:customStyle="1" w:styleId="521">
    <w:name w:val="Normal_1"/>
    <w:next w:val="5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2">
    <w:name w:val="Body Text_0"/>
    <w:basedOn w:val="521"/>
    <w:qFormat/>
    <w:uiPriority w:val="0"/>
    <w:pPr>
      <w:jc w:val="left"/>
    </w:pPr>
  </w:style>
  <w:style w:type="paragraph" w:customStyle="1" w:styleId="523">
    <w:name w:val="正文_16_0"/>
    <w:next w:val="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正文_0_1_0_0"/>
    <w:basedOn w:val="413"/>
    <w:next w:val="413"/>
    <w:qFormat/>
    <w:uiPriority w:val="0"/>
    <w:rPr>
      <w:rFonts w:ascii="Calibri" w:hAnsi="Calibri"/>
      <w:szCs w:val="24"/>
    </w:rPr>
  </w:style>
  <w:style w:type="paragraph" w:customStyle="1" w:styleId="525">
    <w:name w:val="Normal Indent_0"/>
    <w:basedOn w:val="413"/>
    <w:semiHidden/>
    <w:unhideWhenUsed/>
    <w:qFormat/>
    <w:uiPriority w:val="99"/>
    <w:pPr>
      <w:ind w:firstLine="420" w:firstLineChars="200"/>
    </w:pPr>
    <w:rPr>
      <w:rFonts w:ascii="Calibri" w:hAnsi="Calibri" w:eastAsia="宋体"/>
    </w:rPr>
  </w:style>
  <w:style w:type="paragraph" w:customStyle="1" w:styleId="526">
    <w:name w:val="正文_0_4"/>
    <w:qFormat/>
    <w:uiPriority w:val="0"/>
    <w:pPr>
      <w:widowControl w:val="0"/>
      <w:jc w:val="both"/>
    </w:pPr>
    <w:rPr>
      <w:rFonts w:ascii="Calibri" w:hAnsi="Calibri" w:eastAsia="宋体" w:cs="Times New Roman"/>
      <w:lang w:val="en-US" w:eastAsia="zh-CN" w:bidi="ar-SA"/>
    </w:rPr>
  </w:style>
  <w:style w:type="paragraph" w:customStyle="1" w:styleId="527">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正文_2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529">
    <w:name w:val="Normal_9"/>
    <w:qFormat/>
    <w:uiPriority w:val="0"/>
    <w:rPr>
      <w:rFonts w:ascii="黑体" w:hAnsi="黑体" w:eastAsia="黑体" w:cs="Times New Roman"/>
      <w:b/>
      <w:sz w:val="32"/>
      <w:szCs w:val="24"/>
      <w:lang w:val="en-US" w:eastAsia="zh-CN" w:bidi="ar-SA"/>
    </w:rPr>
  </w:style>
  <w:style w:type="paragraph" w:customStyle="1" w:styleId="530">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1">
    <w:name w:val="Normal_12"/>
    <w:qFormat/>
    <w:uiPriority w:val="0"/>
    <w:rPr>
      <w:rFonts w:ascii="Times New Roman" w:hAnsi="Times New Roman" w:eastAsia="Times New Roman" w:cs="Times New Roman"/>
      <w:sz w:val="24"/>
      <w:szCs w:val="24"/>
      <w:lang w:val="en-US" w:eastAsia="zh-CN" w:bidi="ar-SA"/>
    </w:rPr>
  </w:style>
  <w:style w:type="character" w:customStyle="1" w:styleId="532">
    <w:name w:val="标题 3 字符"/>
    <w:link w:val="52"/>
    <w:semiHidden/>
    <w:qFormat/>
    <w:uiPriority w:val="9"/>
    <w:rPr>
      <w:rFonts w:ascii="等线" w:hAnsi="等线" w:eastAsia="等线" w:cs="Times New Roman"/>
      <w:b/>
      <w:bCs/>
      <w:sz w:val="32"/>
      <w:szCs w:val="32"/>
      <w:lang w:val="en-US" w:eastAsia="zh-CN"/>
    </w:rPr>
  </w:style>
  <w:style w:type="paragraph" w:customStyle="1" w:styleId="533">
    <w:name w:val="正文_8_1"/>
    <w:next w:val="534"/>
    <w:qFormat/>
    <w:uiPriority w:val="0"/>
    <w:pPr>
      <w:widowControl w:val="0"/>
      <w:jc w:val="both"/>
    </w:pPr>
    <w:rPr>
      <w:rFonts w:ascii="等线" w:hAnsi="等线" w:eastAsia="等线" w:cs="Times New Roman"/>
      <w:kern w:val="2"/>
      <w:sz w:val="21"/>
      <w:szCs w:val="22"/>
      <w:lang w:val="en-US" w:eastAsia="zh-CN" w:bidi="ar-SA"/>
    </w:rPr>
  </w:style>
  <w:style w:type="paragraph" w:customStyle="1" w:styleId="534">
    <w:name w:val="正文缩进_3_1"/>
    <w:basedOn w:val="533"/>
    <w:next w:val="535"/>
    <w:qFormat/>
    <w:uiPriority w:val="0"/>
    <w:pPr>
      <w:ind w:firstLine="420" w:firstLineChars="200"/>
    </w:pPr>
  </w:style>
  <w:style w:type="paragraph" w:customStyle="1" w:styleId="535">
    <w:name w:val="正文_9_1"/>
    <w:next w:val="534"/>
    <w:qFormat/>
    <w:uiPriority w:val="5"/>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Normal_17_0"/>
    <w:qFormat/>
    <w:uiPriority w:val="0"/>
    <w:rPr>
      <w:rFonts w:ascii="Times New Roman" w:hAnsi="Times New Roman" w:eastAsia="Times New Roman" w:cs="Times New Roman"/>
      <w:sz w:val="24"/>
      <w:szCs w:val="24"/>
      <w:lang w:val="en-US" w:eastAsia="zh-CN" w:bidi="ar-SA"/>
    </w:rPr>
  </w:style>
  <w:style w:type="paragraph" w:customStyle="1" w:styleId="538">
    <w:name w:val="正文_13_0"/>
    <w:next w:val="5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正文_10_0"/>
    <w:next w:val="540"/>
    <w:qFormat/>
    <w:uiPriority w:val="0"/>
    <w:pPr>
      <w:widowControl w:val="0"/>
      <w:jc w:val="both"/>
    </w:pPr>
    <w:rPr>
      <w:rFonts w:ascii="等线" w:hAnsi="等线" w:eastAsia="等线" w:cs="Times New Roman"/>
      <w:kern w:val="2"/>
      <w:sz w:val="21"/>
      <w:szCs w:val="22"/>
      <w:lang w:val="en-US" w:eastAsia="zh-CN" w:bidi="ar-SA"/>
    </w:rPr>
  </w:style>
  <w:style w:type="paragraph" w:customStyle="1" w:styleId="540">
    <w:name w:val="纯文本_0_0"/>
    <w:basedOn w:val="539"/>
    <w:qFormat/>
    <w:uiPriority w:val="0"/>
    <w:rPr>
      <w:rFonts w:ascii="Cambria" w:hAnsi="Cambria"/>
      <w:b/>
      <w:bCs/>
      <w:kern w:val="28"/>
      <w:sz w:val="32"/>
      <w:szCs w:val="32"/>
    </w:rPr>
  </w:style>
  <w:style w:type="paragraph" w:customStyle="1" w:styleId="541">
    <w:name w:val="Normal_19_0"/>
    <w:qFormat/>
    <w:uiPriority w:val="0"/>
    <w:rPr>
      <w:rFonts w:ascii="黑体" w:hAnsi="黑体" w:eastAsia="黑体" w:cs="Times New Roman"/>
      <w:b/>
      <w:sz w:val="32"/>
      <w:szCs w:val="24"/>
      <w:lang w:val="en-US" w:eastAsia="zh-CN" w:bidi="ar-SA"/>
    </w:rPr>
  </w:style>
  <w:style w:type="paragraph" w:customStyle="1" w:styleId="542">
    <w:name w:val="正文_1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Normal_21"/>
    <w:qFormat/>
    <w:uiPriority w:val="0"/>
    <w:rPr>
      <w:rFonts w:ascii="黑体" w:hAnsi="黑体" w:eastAsia="黑体" w:cs="Times New Roman"/>
      <w:b/>
      <w:sz w:val="32"/>
      <w:szCs w:val="24"/>
      <w:lang w:val="en-US" w:eastAsia="zh-CN" w:bidi="ar-SA"/>
    </w:rPr>
  </w:style>
  <w:style w:type="paragraph" w:customStyle="1" w:styleId="544">
    <w:name w:val="正文_12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正文_13_0_1"/>
    <w:next w:val="546"/>
    <w:qFormat/>
    <w:uiPriority w:val="0"/>
    <w:pPr>
      <w:widowControl w:val="0"/>
      <w:jc w:val="both"/>
    </w:pPr>
    <w:rPr>
      <w:rFonts w:ascii="等线" w:hAnsi="等线" w:eastAsia="等线" w:cs="Times New Roman"/>
      <w:kern w:val="2"/>
      <w:sz w:val="21"/>
      <w:szCs w:val="22"/>
      <w:lang w:val="en-US" w:eastAsia="zh-CN" w:bidi="ar-SA"/>
    </w:rPr>
  </w:style>
  <w:style w:type="paragraph" w:customStyle="1" w:styleId="54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8">
    <w:name w:val="正文_15_0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549">
    <w:name w:val="正文_19_0"/>
    <w:next w:val="550"/>
    <w:qFormat/>
    <w:uiPriority w:val="0"/>
    <w:pPr>
      <w:widowControl w:val="0"/>
      <w:jc w:val="both"/>
    </w:pPr>
    <w:rPr>
      <w:rFonts w:ascii="等线" w:hAnsi="等线" w:eastAsia="等线" w:cs="Times New Roman"/>
      <w:kern w:val="2"/>
      <w:sz w:val="21"/>
      <w:szCs w:val="22"/>
      <w:lang w:val="en-US" w:eastAsia="zh-CN" w:bidi="ar-SA"/>
    </w:rPr>
  </w:style>
  <w:style w:type="paragraph" w:customStyle="1" w:styleId="550">
    <w:name w:val="正文_17_0"/>
    <w:qFormat/>
    <w:uiPriority w:val="0"/>
    <w:pPr>
      <w:widowControl w:val="0"/>
      <w:jc w:val="both"/>
    </w:pPr>
    <w:rPr>
      <w:rFonts w:ascii="等线" w:hAnsi="等线" w:eastAsia="等线" w:cs="Times New Roman"/>
      <w:kern w:val="2"/>
      <w:sz w:val="21"/>
      <w:szCs w:val="22"/>
      <w:lang w:val="en-US" w:eastAsia="zh-CN" w:bidi="ar-SA"/>
    </w:rPr>
  </w:style>
  <w:style w:type="paragraph" w:customStyle="1" w:styleId="551">
    <w:name w:val="Normal_26_0"/>
    <w:qFormat/>
    <w:uiPriority w:val="0"/>
    <w:rPr>
      <w:rFonts w:ascii="黑体" w:hAnsi="黑体" w:eastAsia="黑体" w:cs="Times New Roman"/>
      <w:b/>
      <w:sz w:val="32"/>
      <w:szCs w:val="24"/>
      <w:lang w:val="en-US" w:eastAsia="zh-CN" w:bidi="ar-SA"/>
    </w:rPr>
  </w:style>
  <w:style w:type="paragraph" w:customStyle="1" w:styleId="552">
    <w:name w:val="正文_17_0_0"/>
    <w:next w:val="5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3">
    <w:name w:val="正文_18_0"/>
    <w:qFormat/>
    <w:uiPriority w:val="0"/>
    <w:pPr>
      <w:widowControl w:val="0"/>
      <w:jc w:val="both"/>
    </w:pPr>
    <w:rPr>
      <w:rFonts w:ascii="等线" w:hAnsi="等线" w:eastAsia="等线" w:cs="Times New Roman"/>
      <w:kern w:val="2"/>
      <w:sz w:val="21"/>
      <w:szCs w:val="22"/>
      <w:lang w:val="en-US" w:eastAsia="zh-CN" w:bidi="ar-SA"/>
    </w:rPr>
  </w:style>
  <w:style w:type="paragraph" w:customStyle="1" w:styleId="554">
    <w:name w:val="Normal_32"/>
    <w:qFormat/>
    <w:uiPriority w:val="0"/>
    <w:rPr>
      <w:rFonts w:ascii="黑体" w:hAnsi="黑体" w:eastAsia="黑体" w:cs="Times New Roman"/>
      <w:b/>
      <w:sz w:val="32"/>
      <w:szCs w:val="24"/>
      <w:lang w:val="en-US" w:eastAsia="zh-CN" w:bidi="ar-SA"/>
    </w:rPr>
  </w:style>
  <w:style w:type="paragraph" w:customStyle="1" w:styleId="555">
    <w:name w:val="Normal_36"/>
    <w:qFormat/>
    <w:uiPriority w:val="0"/>
    <w:rPr>
      <w:rFonts w:ascii="Times New Roman" w:hAnsi="Times New Roman" w:eastAsia="Times New Roman" w:cs="Times New Roman"/>
      <w:sz w:val="24"/>
      <w:szCs w:val="24"/>
      <w:lang w:val="en-US" w:eastAsia="zh-CN" w:bidi="ar-SA"/>
    </w:rPr>
  </w:style>
  <w:style w:type="paragraph" w:customStyle="1" w:styleId="556">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3"/>
      <w:szCs w:val="23"/>
      <w:lang w:eastAsia="en-US"/>
    </w:rPr>
  </w:style>
  <w:style w:type="table" w:customStyle="1" w:styleId="557">
    <w:name w:val="Table Normal"/>
    <w:unhideWhenUsed/>
    <w:qFormat/>
    <w:uiPriority w:val="0"/>
    <w:rPr>
      <w:rFonts w:ascii="Calibri" w:hAnsi="Calibri"/>
    </w:rPr>
    <w:tblPr>
      <w:tblCellMar>
        <w:top w:w="0" w:type="dxa"/>
        <w:left w:w="0" w:type="dxa"/>
        <w:bottom w:w="0" w:type="dxa"/>
        <w:right w:w="0" w:type="dxa"/>
      </w:tblCellMar>
    </w:tblPr>
  </w:style>
  <w:style w:type="table" w:customStyle="1" w:styleId="558">
    <w:name w:val="Table Normal1"/>
    <w:unhideWhenUsed/>
    <w:qFormat/>
    <w:uiPriority w:val="0"/>
    <w:rPr>
      <w:rFonts w:ascii="Calibri" w:hAnsi="Calibri"/>
    </w:rPr>
    <w:tblPr>
      <w:tblCellMar>
        <w:top w:w="0" w:type="dxa"/>
        <w:left w:w="0" w:type="dxa"/>
        <w:bottom w:w="0" w:type="dxa"/>
        <w:right w:w="0" w:type="dxa"/>
      </w:tblCellMar>
    </w:tblPr>
  </w:style>
  <w:style w:type="paragraph" w:customStyle="1" w:styleId="559">
    <w:name w:val="p0_2_0"/>
    <w:basedOn w:val="560"/>
    <w:qFormat/>
    <w:uiPriority w:val="0"/>
    <w:pPr>
      <w:widowControl/>
    </w:pPr>
    <w:rPr>
      <w:rFonts w:ascii="Times New Roman" w:hAnsi="Times New Roman"/>
      <w:kern w:val="0"/>
      <w:szCs w:val="21"/>
    </w:rPr>
  </w:style>
  <w:style w:type="paragraph" w:customStyle="1" w:styleId="560">
    <w:name w:val="正文_8_0_0"/>
    <w:basedOn w:val="561"/>
    <w:next w:val="563"/>
    <w:qFormat/>
    <w:uiPriority w:val="0"/>
    <w:rPr>
      <w:rFonts w:ascii="等线" w:hAnsi="等线" w:eastAsia="等线"/>
    </w:rPr>
  </w:style>
  <w:style w:type="paragraph" w:customStyle="1" w:styleId="561">
    <w:name w:val="正文_9_0_0"/>
    <w:next w:val="5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标题 3_5_0"/>
    <w:basedOn w:val="561"/>
    <w:next w:val="561"/>
    <w:qFormat/>
    <w:uiPriority w:val="0"/>
    <w:pPr>
      <w:keepNext/>
      <w:keepLines/>
      <w:spacing w:line="416" w:lineRule="auto"/>
      <w:outlineLvl w:val="2"/>
    </w:pPr>
    <w:rPr>
      <w:b/>
      <w:bCs/>
      <w:sz w:val="32"/>
      <w:szCs w:val="32"/>
    </w:rPr>
  </w:style>
  <w:style w:type="paragraph" w:customStyle="1" w:styleId="563">
    <w:name w:val="纯文本_4_0_0"/>
    <w:basedOn w:val="564"/>
    <w:qFormat/>
    <w:uiPriority w:val="0"/>
    <w:rPr>
      <w:rFonts w:ascii="Cambria" w:hAnsi="Cambria"/>
      <w:b/>
      <w:bCs/>
      <w:kern w:val="28"/>
      <w:sz w:val="32"/>
      <w:szCs w:val="32"/>
    </w:rPr>
  </w:style>
  <w:style w:type="paragraph" w:customStyle="1" w:styleId="564">
    <w:name w:val="正文_20_0"/>
    <w:next w:val="5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普通(网站)_0_1"/>
    <w:basedOn w:val="566"/>
    <w:unhideWhenUsed/>
    <w:qFormat/>
    <w:uiPriority w:val="0"/>
    <w:pPr>
      <w:widowControl/>
      <w:spacing w:before="100" w:beforeAutospacing="1" w:after="100" w:afterAutospacing="1" w:line="283" w:lineRule="atLeast"/>
      <w:jc w:val="left"/>
    </w:pPr>
    <w:rPr>
      <w:rFonts w:ascii="宋体" w:hAnsi="宋体" w:eastAsia="等线"/>
      <w:color w:val="000000"/>
      <w:kern w:val="0"/>
      <w:sz w:val="19"/>
    </w:rPr>
  </w:style>
  <w:style w:type="paragraph" w:customStyle="1" w:styleId="566">
    <w:name w:val="正文_0_0_1"/>
    <w:basedOn w:val="405"/>
    <w:next w:val="567"/>
    <w:qFormat/>
    <w:uiPriority w:val="0"/>
  </w:style>
  <w:style w:type="paragraph" w:customStyle="1" w:styleId="567">
    <w:name w:val="纯文本_0_0_0"/>
    <w:basedOn w:val="568"/>
    <w:qFormat/>
    <w:uiPriority w:val="0"/>
    <w:rPr>
      <w:rFonts w:ascii="Cambria" w:hAnsi="Cambria"/>
      <w:b/>
      <w:bCs/>
      <w:kern w:val="28"/>
      <w:sz w:val="32"/>
      <w:szCs w:val="32"/>
    </w:rPr>
  </w:style>
  <w:style w:type="paragraph" w:customStyle="1" w:styleId="568">
    <w:name w:val="正文_0_2_0"/>
    <w:next w:val="5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9_0_1"/>
    <w:next w:val="5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标题 3_5_1"/>
    <w:basedOn w:val="569"/>
    <w:next w:val="569"/>
    <w:qFormat/>
    <w:uiPriority w:val="0"/>
    <w:pPr>
      <w:keepNext/>
      <w:keepLines/>
      <w:spacing w:line="416" w:lineRule="auto"/>
      <w:outlineLvl w:val="2"/>
    </w:pPr>
    <w:rPr>
      <w:b/>
      <w:bCs/>
      <w:sz w:val="32"/>
      <w:szCs w:val="32"/>
    </w:rPr>
  </w:style>
  <w:style w:type="paragraph" w:customStyle="1" w:styleId="571">
    <w:name w:val="普通(网站)_0"/>
    <w:basedOn w:val="508"/>
    <w:unhideWhenUsed/>
    <w:qFormat/>
    <w:uiPriority w:val="0"/>
    <w:pPr>
      <w:widowControl/>
      <w:spacing w:before="100" w:beforeAutospacing="1" w:after="100" w:afterAutospacing="1" w:line="283" w:lineRule="atLeast"/>
      <w:jc w:val="left"/>
    </w:pPr>
    <w:rPr>
      <w:rFonts w:ascii="宋体" w:hAnsi="宋体" w:eastAsia="等线"/>
      <w:color w:val="000000"/>
      <w:kern w:val="0"/>
      <w:sz w:val="19"/>
      <w:szCs w:val="20"/>
    </w:rPr>
  </w:style>
  <w:style w:type="paragraph" w:customStyle="1" w:styleId="572">
    <w:name w:val="BodyText1I"/>
    <w:basedOn w:val="573"/>
    <w:qFormat/>
    <w:uiPriority w:val="0"/>
    <w:pPr>
      <w:ind w:firstLine="420" w:firstLineChars="100"/>
    </w:pPr>
  </w:style>
  <w:style w:type="paragraph" w:customStyle="1" w:styleId="573">
    <w:name w:val="BodyText"/>
    <w:basedOn w:val="1"/>
    <w:next w:val="574"/>
    <w:qFormat/>
    <w:uiPriority w:val="0"/>
    <w:pPr>
      <w:spacing w:after="120"/>
    </w:pPr>
    <w:rPr>
      <w:rFonts w:ascii="Times New Roman" w:hAnsi="Times New Roman" w:eastAsia="宋体" w:cs="Times New Roman"/>
      <w:szCs w:val="24"/>
    </w:rPr>
  </w:style>
  <w:style w:type="paragraph" w:customStyle="1" w:styleId="574">
    <w:name w:val="BodyText2"/>
    <w:basedOn w:val="1"/>
    <w:qFormat/>
    <w:uiPriority w:val="0"/>
    <w:rPr>
      <w:rFonts w:ascii="Times New Roman" w:hAnsi="Times New Roman" w:eastAsia="宋体" w:cs="Times New Roman"/>
      <w:szCs w:val="24"/>
    </w:rPr>
  </w:style>
  <w:style w:type="paragraph" w:customStyle="1" w:styleId="575">
    <w:name w:val="标题 2_0"/>
    <w:basedOn w:val="48"/>
    <w:next w:val="48"/>
    <w:qFormat/>
    <w:uiPriority w:val="0"/>
    <w:pPr>
      <w:keepNext/>
      <w:keepLines/>
      <w:spacing w:line="415" w:lineRule="auto"/>
      <w:outlineLvl w:val="1"/>
    </w:pPr>
    <w:rPr>
      <w:rFonts w:ascii="Cambria" w:hAnsi="Cambria"/>
      <w:b/>
      <w:bCs/>
      <w:kern w:val="0"/>
      <w:sz w:val="32"/>
      <w:szCs w:val="32"/>
    </w:rPr>
  </w:style>
  <w:style w:type="paragraph" w:customStyle="1" w:styleId="576">
    <w:name w:val="标题 2_0_0"/>
    <w:basedOn w:val="577"/>
    <w:next w:val="405"/>
    <w:qFormat/>
    <w:uiPriority w:val="0"/>
    <w:pPr>
      <w:keepNext/>
      <w:keepLines/>
      <w:spacing w:line="416" w:lineRule="auto"/>
      <w:outlineLvl w:val="1"/>
    </w:pPr>
    <w:rPr>
      <w:rFonts w:ascii="Cambria" w:hAnsi="Cambria"/>
      <w:b/>
      <w:bCs/>
      <w:kern w:val="0"/>
      <w:sz w:val="32"/>
      <w:szCs w:val="32"/>
    </w:rPr>
  </w:style>
  <w:style w:type="paragraph" w:customStyle="1" w:styleId="577">
    <w:name w:val="正文_2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8">
    <w:name w:val="标题 3_0_0"/>
    <w:basedOn w:val="360"/>
    <w:next w:val="363"/>
    <w:unhideWhenUsed/>
    <w:qFormat/>
    <w:uiPriority w:val="9"/>
    <w:pPr>
      <w:keepNext/>
      <w:keepLines/>
      <w:spacing w:before="260" w:after="260" w:line="416" w:lineRule="auto"/>
      <w:outlineLvl w:val="2"/>
    </w:pPr>
    <w:rPr>
      <w:rFonts w:ascii="等线" w:hAnsi="等线" w:eastAsia="等线"/>
      <w:b/>
      <w:bCs/>
      <w:sz w:val="32"/>
      <w:szCs w:val="32"/>
    </w:rPr>
  </w:style>
  <w:style w:type="character" w:customStyle="1" w:styleId="579">
    <w:name w:val="标题 4 Char1"/>
    <w:qFormat/>
    <w:uiPriority w:val="0"/>
    <w:rPr>
      <w:rFonts w:ascii="Cambria" w:hAnsi="Cambria" w:eastAsia="宋体" w:cs="Times New Roman"/>
      <w:b/>
      <w:bCs/>
      <w:kern w:val="2"/>
      <w:sz w:val="28"/>
      <w:szCs w:val="28"/>
    </w:rPr>
  </w:style>
  <w:style w:type="character" w:customStyle="1" w:styleId="580">
    <w:name w:val="标题 5 Char1"/>
    <w:qFormat/>
    <w:uiPriority w:val="0"/>
    <w:rPr>
      <w:b/>
      <w:bCs/>
      <w:kern w:val="2"/>
      <w:sz w:val="28"/>
      <w:szCs w:val="28"/>
    </w:rPr>
  </w:style>
  <w:style w:type="character" w:customStyle="1" w:styleId="581">
    <w:name w:val="明显强调2"/>
    <w:qFormat/>
    <w:uiPriority w:val="0"/>
    <w:rPr>
      <w:b/>
      <w:bCs/>
      <w:i/>
      <w:iCs/>
      <w:color w:val="4F81BD"/>
    </w:rPr>
  </w:style>
  <w:style w:type="character" w:customStyle="1" w:styleId="582">
    <w:name w:val="明显参考3"/>
    <w:qFormat/>
    <w:uiPriority w:val="0"/>
    <w:rPr>
      <w:b/>
      <w:bCs/>
      <w:smallCaps/>
      <w:color w:val="C0504D"/>
      <w:spacing w:val="5"/>
      <w:u w:val="single"/>
    </w:rPr>
  </w:style>
  <w:style w:type="character" w:customStyle="1" w:styleId="583">
    <w:name w:val="页码2"/>
    <w:qFormat/>
    <w:uiPriority w:val="0"/>
    <w:rPr>
      <w:rFonts w:cs="Times New Roman"/>
    </w:rPr>
  </w:style>
  <w:style w:type="character" w:customStyle="1" w:styleId="584">
    <w:name w:val="Char Char37"/>
    <w:qFormat/>
    <w:uiPriority w:val="0"/>
    <w:rPr>
      <w:kern w:val="2"/>
      <w:sz w:val="18"/>
      <w:szCs w:val="18"/>
    </w:rPr>
  </w:style>
  <w:style w:type="character" w:customStyle="1" w:styleId="585">
    <w:name w:val="Char Char152"/>
    <w:qFormat/>
    <w:uiPriority w:val="0"/>
    <w:rPr>
      <w:rFonts w:ascii="Arial" w:hAnsi="Arial" w:eastAsia="黑体"/>
      <w:b/>
      <w:bCs/>
      <w:kern w:val="2"/>
      <w:sz w:val="28"/>
      <w:szCs w:val="28"/>
    </w:rPr>
  </w:style>
  <w:style w:type="paragraph" w:customStyle="1" w:styleId="586">
    <w:name w:val="明显引用2"/>
    <w:basedOn w:val="1"/>
    <w:next w:val="1"/>
    <w:qFormat/>
    <w:uiPriority w:val="0"/>
    <w:pPr>
      <w:pBdr>
        <w:bottom w:val="single" w:color="4F81BD" w:sz="4" w:space="4"/>
      </w:pBdr>
      <w:spacing w:before="200" w:after="280"/>
      <w:ind w:left="936" w:right="936"/>
    </w:pPr>
    <w:rPr>
      <w:rFonts w:ascii="Calibri" w:hAnsi="Calibri" w:eastAsia="宋体" w:cs="Times New Roman"/>
      <w:b/>
      <w:bCs/>
      <w:i/>
      <w:iCs/>
      <w:color w:val="4F81BD"/>
    </w:rPr>
  </w:style>
  <w:style w:type="character" w:customStyle="1" w:styleId="587">
    <w:name w:val="书籍标题2"/>
    <w:qFormat/>
    <w:uiPriority w:val="0"/>
    <w:rPr>
      <w:b/>
      <w:bCs/>
      <w:smallCaps/>
      <w:spacing w:val="5"/>
    </w:rPr>
  </w:style>
  <w:style w:type="character" w:customStyle="1" w:styleId="588">
    <w:name w:val="Char Char132"/>
    <w:qFormat/>
    <w:uiPriority w:val="0"/>
    <w:rPr>
      <w:rFonts w:ascii="Arial" w:hAnsi="Arial" w:eastAsia="黑体"/>
      <w:b/>
      <w:bCs/>
      <w:sz w:val="24"/>
      <w:szCs w:val="24"/>
    </w:rPr>
  </w:style>
  <w:style w:type="paragraph" w:customStyle="1" w:styleId="589">
    <w:name w:val="文档结构图2"/>
    <w:basedOn w:val="1"/>
    <w:qFormat/>
    <w:uiPriority w:val="0"/>
    <w:pPr>
      <w:shd w:val="clear" w:color="auto" w:fill="000080"/>
    </w:pPr>
    <w:rPr>
      <w:rFonts w:ascii="Calibri" w:hAnsi="Calibri" w:eastAsia="宋体" w:cs="Times New Roman"/>
      <w:szCs w:val="24"/>
      <w:shd w:val="clear" w:color="auto" w:fill="000080"/>
    </w:rPr>
  </w:style>
  <w:style w:type="character" w:customStyle="1" w:styleId="590">
    <w:name w:val="批注引用2"/>
    <w:qFormat/>
    <w:uiPriority w:val="0"/>
    <w:rPr>
      <w:rFonts w:cs="Times New Roman"/>
      <w:sz w:val="21"/>
      <w:szCs w:val="21"/>
    </w:rPr>
  </w:style>
  <w:style w:type="character" w:customStyle="1" w:styleId="591">
    <w:name w:val="Char Char142"/>
    <w:qFormat/>
    <w:uiPriority w:val="0"/>
    <w:rPr>
      <w:rFonts w:ascii="Calibri" w:hAnsi="Calibri"/>
      <w:b/>
      <w:bCs/>
      <w:kern w:val="2"/>
      <w:sz w:val="28"/>
      <w:szCs w:val="28"/>
    </w:rPr>
  </w:style>
  <w:style w:type="paragraph" w:customStyle="1" w:styleId="592">
    <w:name w:val="批注主题2"/>
    <w:basedOn w:val="19"/>
    <w:next w:val="19"/>
    <w:qFormat/>
    <w:uiPriority w:val="0"/>
    <w:rPr>
      <w:rFonts w:ascii="宋体"/>
      <w:b/>
      <w:bCs/>
      <w:sz w:val="28"/>
      <w:szCs w:val="20"/>
    </w:rPr>
  </w:style>
  <w:style w:type="paragraph" w:customStyle="1" w:styleId="593">
    <w:name w:val="日期2"/>
    <w:basedOn w:val="1"/>
    <w:next w:val="1"/>
    <w:qFormat/>
    <w:uiPriority w:val="0"/>
    <w:pPr>
      <w:ind w:left="100" w:leftChars="2500"/>
    </w:pPr>
    <w:rPr>
      <w:rFonts w:ascii="宋体" w:hAnsi="Calibri" w:eastAsia="宋体" w:cs="Times New Roman"/>
      <w:sz w:val="28"/>
    </w:rPr>
  </w:style>
  <w:style w:type="character" w:customStyle="1" w:styleId="594">
    <w:name w:val="Char Char52"/>
    <w:qFormat/>
    <w:uiPriority w:val="0"/>
    <w:rPr>
      <w:kern w:val="2"/>
      <w:sz w:val="18"/>
      <w:szCs w:val="18"/>
    </w:rPr>
  </w:style>
  <w:style w:type="character" w:customStyle="1" w:styleId="595">
    <w:name w:val="Char Char162"/>
    <w:qFormat/>
    <w:uiPriority w:val="0"/>
    <w:rPr>
      <w:b/>
      <w:bCs/>
      <w:kern w:val="2"/>
      <w:sz w:val="32"/>
      <w:szCs w:val="32"/>
    </w:rPr>
  </w:style>
  <w:style w:type="character" w:customStyle="1" w:styleId="596">
    <w:name w:val="Char Char92"/>
    <w:qFormat/>
    <w:uiPriority w:val="0"/>
    <w:rPr>
      <w:rFonts w:ascii="Tahoma" w:hAnsi="Tahoma" w:eastAsia="宋体"/>
      <w:kern w:val="2"/>
      <w:sz w:val="21"/>
      <w:szCs w:val="24"/>
      <w:lang w:val="en-US" w:eastAsia="zh-CN" w:bidi="ar-SA"/>
    </w:rPr>
  </w:style>
  <w:style w:type="character" w:customStyle="1" w:styleId="597">
    <w:name w:val="Char Char102"/>
    <w:qFormat/>
    <w:uiPriority w:val="0"/>
    <w:rPr>
      <w:rFonts w:ascii="Arial" w:hAnsi="Arial" w:eastAsia="黑体"/>
      <w:sz w:val="21"/>
      <w:szCs w:val="21"/>
    </w:rPr>
  </w:style>
  <w:style w:type="character" w:customStyle="1" w:styleId="598">
    <w:name w:val="Char Char122"/>
    <w:qFormat/>
    <w:uiPriority w:val="0"/>
    <w:rPr>
      <w:b/>
      <w:bCs/>
      <w:sz w:val="24"/>
      <w:szCs w:val="24"/>
    </w:rPr>
  </w:style>
  <w:style w:type="character" w:customStyle="1" w:styleId="599">
    <w:name w:val="明显参考4"/>
    <w:qFormat/>
    <w:uiPriority w:val="0"/>
    <w:rPr>
      <w:b/>
      <w:bCs/>
      <w:smallCaps/>
      <w:color w:val="C0504D"/>
      <w:spacing w:val="5"/>
      <w:u w:val="single"/>
    </w:rPr>
  </w:style>
  <w:style w:type="character" w:customStyle="1" w:styleId="600">
    <w:name w:val="Char Char211"/>
    <w:qFormat/>
    <w:uiPriority w:val="0"/>
    <w:rPr>
      <w:kern w:val="2"/>
      <w:sz w:val="18"/>
      <w:szCs w:val="18"/>
    </w:rPr>
  </w:style>
  <w:style w:type="character" w:customStyle="1" w:styleId="601">
    <w:name w:val="Char Char82"/>
    <w:qFormat/>
    <w:uiPriority w:val="0"/>
    <w:rPr>
      <w:rFonts w:ascii="Arial" w:hAnsi="Arial"/>
      <w:b/>
      <w:sz w:val="32"/>
    </w:rPr>
  </w:style>
  <w:style w:type="character" w:customStyle="1" w:styleId="602">
    <w:name w:val="不明显参考2"/>
    <w:qFormat/>
    <w:uiPriority w:val="0"/>
    <w:rPr>
      <w:smallCaps/>
      <w:color w:val="C0504D"/>
      <w:u w:val="single"/>
    </w:rPr>
  </w:style>
  <w:style w:type="character" w:customStyle="1" w:styleId="603">
    <w:name w:val="Char Char43"/>
    <w:qFormat/>
    <w:uiPriority w:val="0"/>
    <w:rPr>
      <w:kern w:val="2"/>
      <w:sz w:val="21"/>
      <w:szCs w:val="24"/>
    </w:rPr>
  </w:style>
  <w:style w:type="character" w:customStyle="1" w:styleId="604">
    <w:name w:val="Char Char172"/>
    <w:qFormat/>
    <w:uiPriority w:val="0"/>
    <w:rPr>
      <w:rFonts w:ascii="Arial" w:hAnsi="Arial" w:eastAsia="黑体"/>
      <w:b/>
      <w:bCs/>
      <w:kern w:val="2"/>
      <w:sz w:val="32"/>
      <w:szCs w:val="32"/>
      <w:lang w:val="en-US" w:eastAsia="zh-CN" w:bidi="ar-SA"/>
    </w:rPr>
  </w:style>
  <w:style w:type="character" w:customStyle="1" w:styleId="605">
    <w:name w:val="Char Char182"/>
    <w:qFormat/>
    <w:uiPriority w:val="0"/>
    <w:rPr>
      <w:b/>
      <w:bCs/>
      <w:kern w:val="44"/>
      <w:sz w:val="44"/>
      <w:szCs w:val="44"/>
    </w:rPr>
  </w:style>
  <w:style w:type="character" w:customStyle="1" w:styleId="606">
    <w:name w:val="不明显强调3"/>
    <w:qFormat/>
    <w:uiPriority w:val="0"/>
    <w:rPr>
      <w:i/>
      <w:iCs/>
      <w:color w:val="808080"/>
    </w:rPr>
  </w:style>
  <w:style w:type="character" w:customStyle="1" w:styleId="607">
    <w:name w:val="Char Char112"/>
    <w:qFormat/>
    <w:uiPriority w:val="0"/>
    <w:rPr>
      <w:rFonts w:ascii="Arial" w:hAnsi="Arial" w:eastAsia="黑体"/>
      <w:sz w:val="24"/>
      <w:szCs w:val="24"/>
    </w:rPr>
  </w:style>
  <w:style w:type="paragraph" w:customStyle="1" w:styleId="608">
    <w:name w:val="普通(网站)2"/>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customStyle="1" w:styleId="609">
    <w:name w:val="修订2"/>
    <w:qFormat/>
    <w:uiPriority w:val="0"/>
    <w:rPr>
      <w:rFonts w:ascii="Times New Roman" w:hAnsi="Times New Roman" w:eastAsia="宋体" w:cs="Times New Roman"/>
      <w:kern w:val="2"/>
      <w:sz w:val="21"/>
      <w:szCs w:val="24"/>
      <w:lang w:val="en-US" w:eastAsia="zh-CN" w:bidi="ar-SA"/>
    </w:rPr>
  </w:style>
  <w:style w:type="paragraph" w:customStyle="1" w:styleId="610">
    <w:name w:val="Char Char Char Char Char1 Char2"/>
    <w:basedOn w:val="1"/>
    <w:qFormat/>
    <w:uiPriority w:val="0"/>
    <w:rPr>
      <w:rFonts w:ascii="Calibri" w:hAnsi="Calibri" w:eastAsia="宋体" w:cs="Times New Roman"/>
    </w:rPr>
  </w:style>
  <w:style w:type="paragraph" w:customStyle="1" w:styleId="611">
    <w:name w:val="Char42"/>
    <w:basedOn w:val="1"/>
    <w:qFormat/>
    <w:uiPriority w:val="0"/>
    <w:rPr>
      <w:rFonts w:ascii="Calibri" w:hAnsi="Calibri" w:eastAsia="宋体" w:cs="Times New Roman"/>
    </w:rPr>
  </w:style>
  <w:style w:type="paragraph" w:customStyle="1" w:styleId="612">
    <w:name w:val="Char5"/>
    <w:basedOn w:val="1"/>
    <w:qFormat/>
    <w:uiPriority w:val="0"/>
    <w:pPr>
      <w:adjustRightInd w:val="0"/>
      <w:snapToGrid w:val="0"/>
      <w:spacing w:line="360" w:lineRule="auto"/>
      <w:ind w:firstLine="200"/>
      <w:jc w:val="left"/>
    </w:pPr>
    <w:rPr>
      <w:rFonts w:ascii="Calibri" w:hAnsi="Calibri" w:eastAsia="宋体" w:cs="Times New Roman"/>
    </w:rPr>
  </w:style>
  <w:style w:type="paragraph" w:customStyle="1" w:styleId="613">
    <w:name w:val="TOC 标题3"/>
    <w:basedOn w:val="2"/>
    <w:next w:val="1"/>
    <w:qFormat/>
    <w:uiPriority w:val="0"/>
    <w:pPr>
      <w:spacing w:before="0" w:after="0" w:line="576" w:lineRule="auto"/>
      <w:jc w:val="center"/>
      <w:outlineLvl w:val="9"/>
    </w:pPr>
    <w:rPr>
      <w:rFonts w:ascii="Calibri" w:hAnsi="Calibri" w:eastAsia="黑体"/>
      <w:kern w:val="32"/>
      <w:sz w:val="32"/>
    </w:rPr>
  </w:style>
  <w:style w:type="paragraph" w:customStyle="1" w:styleId="61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15">
    <w:name w:val="Char12"/>
    <w:basedOn w:val="1"/>
    <w:qFormat/>
    <w:uiPriority w:val="0"/>
    <w:rPr>
      <w:rFonts w:ascii="Calibri" w:hAnsi="Calibri" w:eastAsia="宋体" w:cs="Times New Roman"/>
    </w:rPr>
  </w:style>
  <w:style w:type="paragraph" w:customStyle="1" w:styleId="616">
    <w:name w:val="列出段落2"/>
    <w:basedOn w:val="1"/>
    <w:qFormat/>
    <w:uiPriority w:val="0"/>
    <w:pPr>
      <w:ind w:firstLine="420" w:firstLineChars="200"/>
    </w:pPr>
    <w:rPr>
      <w:rFonts w:ascii="Calibri" w:hAnsi="Calibri" w:eastAsia="宋体" w:cs="Times New Roman"/>
    </w:rPr>
  </w:style>
  <w:style w:type="paragraph" w:customStyle="1" w:styleId="617">
    <w:name w:val="Char Char1 Char Char Char2"/>
    <w:basedOn w:val="1"/>
    <w:qFormat/>
    <w:uiPriority w:val="0"/>
    <w:rPr>
      <w:rFonts w:ascii="Calibri" w:hAnsi="Calibri" w:eastAsia="宋体" w:cs="Times New Roman"/>
      <w:kern w:val="0"/>
      <w:sz w:val="20"/>
      <w:szCs w:val="20"/>
    </w:rPr>
  </w:style>
  <w:style w:type="paragraph" w:customStyle="1" w:styleId="618">
    <w:name w:val="索引 42"/>
    <w:basedOn w:val="1"/>
    <w:next w:val="1"/>
    <w:qFormat/>
    <w:uiPriority w:val="0"/>
    <w:pPr>
      <w:ind w:left="600" w:leftChars="600"/>
    </w:pPr>
    <w:rPr>
      <w:rFonts w:ascii="Calibri" w:hAnsi="Calibri" w:eastAsia="宋体" w:cs="Times New Roman"/>
    </w:rPr>
  </w:style>
  <w:style w:type="paragraph" w:customStyle="1" w:styleId="619">
    <w:name w:val="正文缩进2"/>
    <w:basedOn w:val="1"/>
    <w:qFormat/>
    <w:uiPriority w:val="0"/>
    <w:pPr>
      <w:adjustRightInd w:val="0"/>
      <w:spacing w:line="360" w:lineRule="atLeast"/>
      <w:ind w:firstLine="482"/>
      <w:textAlignment w:val="baseline"/>
    </w:pPr>
    <w:rPr>
      <w:rFonts w:ascii="Calibri" w:hAnsi="Calibri" w:eastAsia="宋体" w:cs="Times New Roman"/>
      <w:kern w:val="0"/>
      <w:sz w:val="24"/>
      <w:szCs w:val="20"/>
    </w:rPr>
  </w:style>
  <w:style w:type="paragraph" w:customStyle="1" w:styleId="62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修订3"/>
    <w:qFormat/>
    <w:uiPriority w:val="0"/>
    <w:rPr>
      <w:rFonts w:ascii="Times New Roman" w:hAnsi="Times New Roman" w:eastAsia="宋体" w:cs="Times New Roman"/>
      <w:kern w:val="2"/>
      <w:sz w:val="21"/>
      <w:szCs w:val="24"/>
      <w:lang w:val="en-US" w:eastAsia="zh-CN" w:bidi="ar-SA"/>
    </w:rPr>
  </w:style>
  <w:style w:type="paragraph" w:customStyle="1" w:styleId="622">
    <w:name w:val="正文文本 22"/>
    <w:basedOn w:val="1"/>
    <w:qFormat/>
    <w:uiPriority w:val="0"/>
    <w:pPr>
      <w:autoSpaceDE w:val="0"/>
      <w:autoSpaceDN w:val="0"/>
      <w:adjustRightInd w:val="0"/>
      <w:spacing w:line="380" w:lineRule="atLeast"/>
      <w:textAlignment w:val="baseline"/>
    </w:pPr>
    <w:rPr>
      <w:rFonts w:ascii="Calibri" w:hAnsi="Calibri" w:eastAsia="宋体" w:cs="Times New Roman"/>
      <w:spacing w:val="10"/>
      <w:kern w:val="0"/>
      <w:sz w:val="24"/>
      <w:szCs w:val="20"/>
    </w:rPr>
  </w:style>
  <w:style w:type="paragraph" w:customStyle="1" w:styleId="623">
    <w:name w:val="标题 1_0"/>
    <w:basedOn w:val="45"/>
    <w:next w:val="45"/>
    <w:link w:val="624"/>
    <w:qFormat/>
    <w:uiPriority w:val="0"/>
    <w:pPr>
      <w:keepNext/>
      <w:keepLines/>
      <w:spacing w:line="576" w:lineRule="auto"/>
      <w:jc w:val="center"/>
      <w:outlineLvl w:val="0"/>
    </w:pPr>
    <w:rPr>
      <w:rFonts w:eastAsia="黑体" w:cs="Times New Roman"/>
      <w:b/>
      <w:bCs/>
      <w:kern w:val="32"/>
      <w:sz w:val="32"/>
      <w:szCs w:val="44"/>
    </w:rPr>
  </w:style>
  <w:style w:type="character" w:customStyle="1" w:styleId="624">
    <w:name w:val="标题 1 Char_0"/>
    <w:link w:val="623"/>
    <w:qFormat/>
    <w:uiPriority w:val="0"/>
    <w:rPr>
      <w:rFonts w:ascii="Calibri" w:hAnsi="Calibri" w:eastAsia="黑体"/>
      <w:b/>
      <w:bCs/>
      <w:kern w:val="32"/>
      <w:sz w:val="32"/>
      <w:szCs w:val="44"/>
    </w:rPr>
  </w:style>
  <w:style w:type="paragraph" w:customStyle="1" w:styleId="625">
    <w:name w:val="样式 宋体 四号 首行缩进:  2 字符_0"/>
    <w:basedOn w:val="369"/>
    <w:qFormat/>
    <w:uiPriority w:val="0"/>
    <w:pPr>
      <w:widowControl/>
    </w:pPr>
    <w:rPr>
      <w:rFonts w:ascii="Calibri" w:hAnsi="Calibri" w:cs="宋体"/>
      <w:color w:val="000000"/>
      <w:kern w:val="0"/>
      <w:szCs w:val="20"/>
    </w:rPr>
  </w:style>
  <w:style w:type="character" w:customStyle="1" w:styleId="626">
    <w:name w:val="要点_0"/>
    <w:qFormat/>
    <w:uiPriority w:val="0"/>
    <w:rPr>
      <w:rFonts w:ascii="Tahoma" w:hAnsi="Tahoma" w:eastAsia="宋体"/>
      <w:b/>
      <w:bCs/>
      <w:kern w:val="2"/>
      <w:sz w:val="24"/>
      <w:szCs w:val="24"/>
      <w:lang w:val="en-US" w:eastAsia="zh-CN" w:bidi="ar-SA"/>
    </w:rPr>
  </w:style>
  <w:style w:type="paragraph" w:customStyle="1" w:styleId="627">
    <w:name w:val="p0_0_0"/>
    <w:basedOn w:val="369"/>
    <w:qFormat/>
    <w:uiPriority w:val="0"/>
    <w:pPr>
      <w:widowControl/>
    </w:pPr>
    <w:rPr>
      <w:kern w:val="0"/>
      <w:szCs w:val="21"/>
    </w:rPr>
  </w:style>
  <w:style w:type="paragraph" w:customStyle="1" w:styleId="628">
    <w:name w:val="样式 宋体 四号 首行缩进:  2 字符_1"/>
    <w:basedOn w:val="53"/>
    <w:qFormat/>
    <w:uiPriority w:val="0"/>
    <w:pPr>
      <w:widowControl/>
    </w:pPr>
    <w:rPr>
      <w:rFonts w:ascii="Calibri" w:hAnsi="Calibri" w:eastAsia="宋体" w:cs="宋体"/>
      <w:color w:val="000000"/>
      <w:kern w:val="0"/>
      <w:szCs w:val="20"/>
    </w:rPr>
  </w:style>
  <w:style w:type="paragraph" w:customStyle="1" w:styleId="629">
    <w:name w:val="纯文本_1_0"/>
    <w:basedOn w:val="533"/>
    <w:qFormat/>
    <w:uiPriority w:val="0"/>
    <w:rPr>
      <w:rFonts w:ascii="Cambria" w:hAnsi="Cambria" w:eastAsia="宋体"/>
      <w:b/>
      <w:bCs/>
      <w:kern w:val="28"/>
      <w:sz w:val="32"/>
      <w:szCs w:val="32"/>
    </w:rPr>
  </w:style>
  <w:style w:type="paragraph" w:customStyle="1" w:styleId="630">
    <w:name w:val="纯文本_3"/>
    <w:basedOn w:val="631"/>
    <w:qFormat/>
    <w:uiPriority w:val="0"/>
    <w:rPr>
      <w:rFonts w:ascii="Cambria" w:hAnsi="Cambria"/>
      <w:b/>
      <w:bCs/>
      <w:kern w:val="28"/>
      <w:sz w:val="32"/>
      <w:szCs w:val="32"/>
    </w:rPr>
  </w:style>
  <w:style w:type="paragraph" w:customStyle="1" w:styleId="631">
    <w:name w:val="正文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正文首行缩进_3_0"/>
    <w:basedOn w:val="71"/>
    <w:qFormat/>
    <w:uiPriority w:val="0"/>
    <w:pPr>
      <w:ind w:firstLine="420" w:firstLineChars="100"/>
    </w:pPr>
    <w:rPr>
      <w:szCs w:val="20"/>
    </w:rPr>
  </w:style>
  <w:style w:type="paragraph" w:customStyle="1" w:styleId="633">
    <w:name w:val="正文_1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标题 4_1"/>
    <w:basedOn w:val="46"/>
    <w:next w:val="46"/>
    <w:link w:val="635"/>
    <w:qFormat/>
    <w:uiPriority w:val="0"/>
    <w:pPr>
      <w:keepNext/>
      <w:keepLines/>
      <w:spacing w:line="376" w:lineRule="auto"/>
      <w:outlineLvl w:val="3"/>
    </w:pPr>
    <w:rPr>
      <w:rFonts w:ascii="Cambria" w:hAnsi="Cambria" w:cs="Times New Roman"/>
      <w:b/>
      <w:bCs/>
      <w:sz w:val="28"/>
      <w:szCs w:val="28"/>
    </w:rPr>
  </w:style>
  <w:style w:type="character" w:customStyle="1" w:styleId="635">
    <w:name w:val="标题 4 Char_0"/>
    <w:link w:val="634"/>
    <w:qFormat/>
    <w:uiPriority w:val="0"/>
    <w:rPr>
      <w:rFonts w:ascii="Cambria" w:hAnsi="Cambria"/>
      <w:b/>
      <w:bCs/>
      <w:kern w:val="2"/>
      <w:sz w:val="28"/>
      <w:szCs w:val="28"/>
    </w:rPr>
  </w:style>
  <w:style w:type="paragraph" w:customStyle="1" w:styleId="636">
    <w:name w:val="标题 3_2"/>
    <w:basedOn w:val="399"/>
    <w:next w:val="399"/>
    <w:unhideWhenUsed/>
    <w:qFormat/>
    <w:uiPriority w:val="9"/>
    <w:pPr>
      <w:keepNext/>
      <w:keepLines/>
      <w:spacing w:before="260" w:after="260" w:line="416" w:lineRule="auto"/>
      <w:outlineLvl w:val="2"/>
    </w:pPr>
    <w:rPr>
      <w:b/>
      <w:bCs/>
      <w:sz w:val="32"/>
      <w:szCs w:val="32"/>
    </w:rPr>
  </w:style>
  <w:style w:type="paragraph" w:customStyle="1" w:styleId="637">
    <w:name w:val="正文文本2"/>
    <w:basedOn w:val="308"/>
    <w:qFormat/>
    <w:uiPriority w:val="0"/>
    <w:pPr>
      <w:widowControl w:val="0"/>
    </w:pPr>
    <w:rPr>
      <w:rFonts w:ascii="Calibri" w:hAnsi="Calibri" w:eastAsia="宋体"/>
      <w:b w:val="0"/>
      <w:kern w:val="2"/>
      <w:sz w:val="21"/>
    </w:rPr>
  </w:style>
  <w:style w:type="paragraph" w:customStyle="1" w:styleId="638">
    <w:name w:val="正文_11_0_0"/>
    <w:next w:val="3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Normal_6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640">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正文_1_2"/>
    <w:qFormat/>
    <w:uiPriority w:val="0"/>
    <w:pPr>
      <w:widowControl w:val="0"/>
      <w:jc w:val="both"/>
    </w:pPr>
    <w:rPr>
      <w:rFonts w:ascii="等线" w:hAnsi="等线" w:eastAsia="等线" w:cs="Times New Roman"/>
      <w:kern w:val="2"/>
      <w:sz w:val="21"/>
      <w:szCs w:val="22"/>
      <w:lang w:val="en-US" w:eastAsia="zh-CN" w:bidi="ar-SA"/>
    </w:rPr>
  </w:style>
  <w:style w:type="paragraph" w:customStyle="1" w:styleId="642">
    <w:name w:val="正文_1_2_0"/>
    <w:qFormat/>
    <w:uiPriority w:val="0"/>
    <w:pPr>
      <w:widowControl w:val="0"/>
      <w:jc w:val="both"/>
    </w:pPr>
    <w:rPr>
      <w:rFonts w:ascii="等线" w:hAnsi="等线" w:eastAsia="等线" w:cs="Times New Roman"/>
      <w:kern w:val="2"/>
      <w:sz w:val="21"/>
      <w:szCs w:val="22"/>
      <w:lang w:val="en-US" w:eastAsia="zh-CN" w:bidi="ar-SA"/>
    </w:rPr>
  </w:style>
  <w:style w:type="paragraph" w:customStyle="1" w:styleId="643">
    <w:name w:val="正文_4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4">
    <w:name w:val="超链接_0"/>
    <w:unhideWhenUsed/>
    <w:qFormat/>
    <w:uiPriority w:val="99"/>
    <w:rPr>
      <w:rFonts w:ascii="等线" w:hAnsi="等线" w:eastAsia="等线"/>
      <w:color w:val="0000FF"/>
      <w:u w:val="single"/>
      <w:lang w:val="en-US" w:eastAsia="zh-CN" w:bidi="ar-SA"/>
    </w:rPr>
  </w:style>
  <w:style w:type="paragraph" w:customStyle="1" w:styleId="645">
    <w:name w:val="正文_10_0_0"/>
    <w:next w:val="6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样式 宋体 四号 首行缩进:  2 字符_2"/>
    <w:basedOn w:val="645"/>
    <w:qFormat/>
    <w:uiPriority w:val="0"/>
    <w:pPr>
      <w:widowControl/>
    </w:pPr>
    <w:rPr>
      <w:color w:val="000000"/>
      <w:kern w:val="0"/>
      <w:szCs w:val="20"/>
    </w:rPr>
  </w:style>
  <w:style w:type="paragraph" w:customStyle="1" w:styleId="647">
    <w:name w:val="Normal_37"/>
    <w:qFormat/>
    <w:uiPriority w:val="0"/>
    <w:rPr>
      <w:rFonts w:ascii="黑体" w:hAnsi="黑体" w:eastAsia="黑体" w:cs="Times New Roman"/>
      <w:b/>
      <w:sz w:val="32"/>
      <w:szCs w:val="24"/>
      <w:lang w:val="en-US" w:eastAsia="zh-CN" w:bidi="ar-SA"/>
    </w:rPr>
  </w:style>
  <w:style w:type="paragraph" w:customStyle="1" w:styleId="648">
    <w:name w:val="标题 7_0"/>
    <w:basedOn w:val="549"/>
    <w:next w:val="549"/>
    <w:qFormat/>
    <w:uiPriority w:val="0"/>
    <w:pPr>
      <w:keepNext/>
      <w:keepLines/>
      <w:widowControl/>
      <w:tabs>
        <w:tab w:val="left" w:pos="2520"/>
      </w:tabs>
      <w:spacing w:line="320" w:lineRule="auto"/>
      <w:ind w:left="1296" w:hanging="1296"/>
      <w:jc w:val="center"/>
      <w:outlineLvl w:val="6"/>
    </w:pPr>
    <w:rPr>
      <w:rFonts w:ascii="Calibri" w:hAnsi="Calibri"/>
      <w:b/>
      <w:bCs/>
      <w:sz w:val="24"/>
    </w:rPr>
  </w:style>
  <w:style w:type="paragraph" w:customStyle="1" w:styleId="649">
    <w:name w:val="样式 宋体 四号 首行缩进:  2 字符_0_0"/>
    <w:basedOn w:val="549"/>
    <w:qFormat/>
    <w:uiPriority w:val="0"/>
    <w:pPr>
      <w:widowControl/>
    </w:pPr>
    <w:rPr>
      <w:rFonts w:cs="宋体"/>
      <w:color w:val="000000"/>
      <w:kern w:val="0"/>
      <w:szCs w:val="20"/>
    </w:rPr>
  </w:style>
  <w:style w:type="paragraph" w:customStyle="1" w:styleId="650">
    <w:name w:val="标题 4_2"/>
    <w:basedOn w:val="549"/>
    <w:next w:val="549"/>
    <w:qFormat/>
    <w:uiPriority w:val="0"/>
    <w:pPr>
      <w:keepNext/>
      <w:keepLines/>
      <w:spacing w:line="376" w:lineRule="auto"/>
      <w:outlineLvl w:val="3"/>
    </w:pPr>
    <w:rPr>
      <w:rFonts w:ascii="Cambria" w:hAnsi="Cambria"/>
      <w:b/>
      <w:bCs/>
      <w:sz w:val="28"/>
      <w:szCs w:val="28"/>
    </w:rPr>
  </w:style>
  <w:style w:type="paragraph" w:customStyle="1" w:styleId="651">
    <w:name w:val="正文缩进_3"/>
    <w:basedOn w:val="357"/>
    <w:next w:val="357"/>
    <w:qFormat/>
    <w:uiPriority w:val="0"/>
    <w:pPr>
      <w:ind w:firstLine="420" w:firstLineChars="200"/>
    </w:pPr>
    <w:rPr>
      <w:rFonts w:ascii="Calibri" w:hAnsi="Calibri" w:eastAsia="宋体" w:cs="Times New Roman"/>
    </w:rPr>
  </w:style>
  <w:style w:type="paragraph" w:customStyle="1" w:styleId="652">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37410</Words>
  <Characters>39674</Characters>
  <Lines>373</Lines>
  <Paragraphs>105</Paragraphs>
  <TotalTime>0</TotalTime>
  <ScaleCrop>false</ScaleCrop>
  <LinksUpToDate>false</LinksUpToDate>
  <CharactersWithSpaces>42843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2024-09-23T10:21:00Z</dcterms:created>
  <dc:creator>NTKO</dc:creator>
  <cp:lastModifiedBy>NTKO</cp:lastModifiedBy>
  <dcterms:modified xsi:type="dcterms:W3CDTF">2025-06-11T09:15:54Z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4B9C3191518A4F9AAF5D19F09D16BB0C_13</vt:lpwstr>
  </property>
  <property fmtid="{D5CDD505-2E9C-101B-9397-08002B2CF9AE}" pid="4" name="KSOTemplateDocerSaveRecord">
    <vt:lpwstr>eyJoZGlkIjoiMzljYmI5YmMyNWUxNGRlNmE2YmY0NTliNzBhNDNiMzQiLCJ1c2VySWQiOiIxODk1NTcyNzIifQ==</vt:lpwstr>
  </property>
</Properties>
</file>